
<file path=[Content_Types].xml><?xml version="1.0" encoding="utf-8"?>
<Types xmlns="http://schemas.openxmlformats.org/package/2006/content-types">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bookmarkStart w:colFirst="0" w:colLast="0" w:name="_heading=h.mq5j7811y0hd"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
                <a:graphic>
                  <a:graphicData uri="http://schemas.microsoft.com/office/word/2010/wordprocessingShape">
                    <wps:wsp>
                      <wps:cNvSpPr/>
                      <wps:cNvPr id="2" name="Shape 2"/>
                      <wps:spPr>
                        <a:xfrm>
                          <a:off x="2763138" y="3155160"/>
                          <a:ext cx="5165725" cy="124968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Embsay with Eastby Pre-School Playgroup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and Out of School Club</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Health Procedures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Infection Control</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75250" cy="125920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wrapNone/>
                <wp:docPr id="4" name=""/>
                <a:graphic>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ext uri="{91240B29-F687-4F45-9708-019B960494DF}"/>
                        </a:extLst>
                      </wps:spPr>
                      <wps:txbx>
                        <w:txbxContent>
                          <w:p w:rsidR="0021678A" w:rsidDel="00000000" w:rsidP="00000000" w:rsidRDefault="0021678A" w:rsidRPr="00000000" w14:paraId="659B6E48" w14:textId="77777777">
                            <w:r w:rsidDel="00000000" w:rsidR="00000000" w:rsidRPr="00000000">
                              <w:rPr>
                                <w:noProof w:val="1"/>
                                <w:lang w:eastAsia="en-GB"/>
                              </w:rPr>
                              <w:drawing>
                                <wp:inline distB="0" distT="0" distL="0" distR="0">
                                  <wp:extent cx="1557829" cy="926276"/>
                                  <wp:effectExtent b="0" l="19050" r="4271" t="0"/>
                                  <wp:docPr id="3" name="Picture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757680" cy="106870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spacing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5">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Good practice infection control is paramount in early years settings. Young children’s immune systems are still developing, and they are therefore more susceptible to illness.</w:t>
      </w:r>
    </w:p>
    <w:p w:rsidR="00000000" w:rsidDel="00000000" w:rsidP="00000000" w:rsidRDefault="00000000" w:rsidRPr="00000000" w14:paraId="00000006">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Prevention</w:t>
      </w:r>
    </w:p>
    <w:p w:rsidR="00000000" w:rsidDel="00000000" w:rsidP="00000000" w:rsidRDefault="00000000" w:rsidRPr="00000000" w14:paraId="00000007">
      <w:pPr>
        <w:numPr>
          <w:ilvl w:val="0"/>
          <w:numId w:val="1"/>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Minimise contact with individuals who are unwell by ensuring that those who have symptoms of an infectious illness do not attend settings and stay at home for the recommended exclusion time (see below UKHSA link).</w:t>
      </w:r>
    </w:p>
    <w:p w:rsidR="00000000" w:rsidDel="00000000" w:rsidP="00000000" w:rsidRDefault="00000000" w:rsidRPr="00000000" w14:paraId="00000008">
      <w:pPr>
        <w:numPr>
          <w:ilvl w:val="0"/>
          <w:numId w:val="1"/>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Always clean hands thoroughly, and more often than usual where there is an infection outbreak.</w:t>
      </w:r>
    </w:p>
    <w:p w:rsidR="00000000" w:rsidDel="00000000" w:rsidP="00000000" w:rsidRDefault="00000000" w:rsidRPr="00000000" w14:paraId="00000009">
      <w:pPr>
        <w:numPr>
          <w:ilvl w:val="0"/>
          <w:numId w:val="1"/>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Ensure good respiratory hygiene amongst children and staff by promoting ‘catch it, bin it, kill it’ approach.</w:t>
      </w:r>
    </w:p>
    <w:p w:rsidR="00000000" w:rsidDel="00000000" w:rsidP="00000000" w:rsidRDefault="00000000" w:rsidRPr="00000000" w14:paraId="0000000A">
      <w:pPr>
        <w:numPr>
          <w:ilvl w:val="0"/>
          <w:numId w:val="1"/>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Where necessary, for instance, where there is an infection outbreak, wear appropriate PPE.</w:t>
      </w:r>
    </w:p>
    <w:p w:rsidR="00000000" w:rsidDel="00000000" w:rsidP="00000000" w:rsidRDefault="00000000" w:rsidRPr="00000000" w14:paraId="0000000B">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Response to an infection outbreak</w:t>
      </w:r>
    </w:p>
    <w:p w:rsidR="00000000" w:rsidDel="00000000" w:rsidP="00000000" w:rsidRDefault="00000000" w:rsidRPr="00000000" w14:paraId="0000000C">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Manage confirmed cases of a contagious illness by following the guidance from the </w:t>
      </w:r>
      <w:hyperlink r:id="rId10">
        <w:r w:rsidDel="00000000" w:rsidR="00000000" w:rsidRPr="00000000">
          <w:rPr>
            <w:rFonts w:ascii="Arial" w:cs="Arial" w:eastAsia="Arial" w:hAnsi="Arial"/>
            <w:color w:val="0000ff"/>
            <w:sz w:val="22"/>
            <w:szCs w:val="22"/>
            <w:u w:val="single"/>
            <w:rtl w:val="0"/>
          </w:rPr>
          <w:t xml:space="preserve">UK Health Security Agency (UKHSA)</w:t>
        </w:r>
      </w:hyperlink>
      <w:r w:rsidDel="00000000" w:rsidR="00000000" w:rsidRPr="00000000">
        <w:rPr>
          <w:rtl w:val="0"/>
        </w:rPr>
      </w:r>
    </w:p>
    <w:p w:rsidR="00000000" w:rsidDel="00000000" w:rsidP="00000000" w:rsidRDefault="00000000" w:rsidRPr="00000000" w14:paraId="0000000D">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Informing others</w:t>
      </w:r>
    </w:p>
    <w:p w:rsidR="00000000" w:rsidDel="00000000" w:rsidP="00000000" w:rsidRDefault="00000000" w:rsidRPr="00000000" w14:paraId="0000000E">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Early years providers have a duty to inform Ofsted of any serious accidents, illnesses or injuries as follows: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36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anything that requires resuscitation</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admittance to hospital for more than 24 hours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broken bone or fracture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dislocation of any major joint, such as the shoulder, knee, hip or elbow</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loss of consciousness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severe breathing difficulties, including asphyxia</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anything leading to hypothermia or heat-induced illness</w:t>
      </w:r>
    </w:p>
    <w:p w:rsidR="00000000" w:rsidDel="00000000" w:rsidP="00000000" w:rsidRDefault="00000000" w:rsidRPr="00000000" w14:paraId="00000016">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some circumstances this may include a confirmed case of a Notifiable Disease in their setting, if it meets the criteria defined by Ofsted above. Please note that it is not the responsibility of the setting to diagnose a notifiable disease. This can only be done by a clinician (GP or Doctor). If a child is displaying symptoms that indicate they may be suffering from a notifiable disease, parents must be advised to seek a medical diagnosis, which will then be ‘notified’ to the relevant body. Once a diagnosis is confirmed,</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2"/>
          <w:szCs w:val="22"/>
          <w:rtl w:val="0"/>
        </w:rPr>
        <w:t xml:space="preserve">the setting may be contacted by the UKHSA or may wish to contact them for further advice.</w:t>
      </w:r>
    </w:p>
    <w:p w:rsidR="00000000" w:rsidDel="00000000" w:rsidP="00000000" w:rsidRDefault="00000000" w:rsidRPr="00000000" w14:paraId="00000017">
      <w:pPr>
        <w:spacing w:after="120" w:before="120" w:line="36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Further guidance </w:t>
      </w:r>
    </w:p>
    <w:p w:rsidR="00000000" w:rsidDel="00000000" w:rsidP="00000000" w:rsidRDefault="00000000" w:rsidRPr="00000000" w14:paraId="00000019">
      <w:pPr>
        <w:spacing w:after="120" w:before="120" w:line="360" w:lineRule="auto"/>
        <w:jc w:val="both"/>
        <w:rPr>
          <w:rFonts w:ascii="Arial" w:cs="Arial" w:eastAsia="Arial" w:hAnsi="Arial"/>
          <w:sz w:val="22"/>
          <w:szCs w:val="22"/>
        </w:rPr>
      </w:pPr>
      <w:hyperlink r:id="rId11">
        <w:r w:rsidDel="00000000" w:rsidR="00000000" w:rsidRPr="00000000">
          <w:rPr>
            <w:rFonts w:ascii="Arial" w:cs="Arial" w:eastAsia="Arial" w:hAnsi="Arial"/>
            <w:color w:val="0000ff"/>
            <w:sz w:val="22"/>
            <w:szCs w:val="22"/>
            <w:u w:val="single"/>
            <w:rtl w:val="0"/>
          </w:rPr>
          <w:t xml:space="preserve">Good Practice in Early Years Infection Control</w:t>
        </w:r>
      </w:hyperlink>
      <w:r w:rsidDel="00000000" w:rsidR="00000000" w:rsidRPr="00000000">
        <w:rPr>
          <w:rFonts w:ascii="Arial" w:cs="Arial" w:eastAsia="Arial" w:hAnsi="Arial"/>
          <w:sz w:val="22"/>
          <w:szCs w:val="22"/>
          <w:rtl w:val="0"/>
        </w:rPr>
        <w:t xml:space="preserve"> (Alliance Publication)</w:t>
      </w:r>
    </w:p>
    <w:p w:rsidR="00000000" w:rsidDel="00000000" w:rsidP="00000000" w:rsidRDefault="00000000" w:rsidRPr="00000000" w14:paraId="0000001A">
      <w:pPr>
        <w:spacing w:after="120" w:before="120" w:line="36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spacing w:after="120" w:before="120" w:line="36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Members of Staff responsible for Health &amp; Safety: </w:t>
      </w:r>
      <w:r w:rsidDel="00000000" w:rsidR="00000000" w:rsidRPr="00000000">
        <w:rPr>
          <w:rFonts w:ascii="Comic Sans MS" w:cs="Comic Sans MS" w:eastAsia="Comic Sans MS" w:hAnsi="Comic Sans MS"/>
          <w:sz w:val="22"/>
          <w:szCs w:val="22"/>
          <w:rtl w:val="0"/>
        </w:rPr>
        <w:t xml:space="preserve">Kazia Hutchinson </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&amp; Judith Duxbury</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This Policy was reviewed in </w:t>
      </w:r>
      <w:r w:rsidDel="00000000" w:rsidR="00000000" w:rsidRPr="00000000">
        <w:rPr>
          <w:rFonts w:ascii="Comic Sans MS" w:cs="Comic Sans MS" w:eastAsia="Comic Sans MS" w:hAnsi="Comic Sans MS"/>
          <w:sz w:val="22"/>
          <w:szCs w:val="22"/>
          <w:rtl w:val="0"/>
        </w:rPr>
        <w:t xml:space="preserve">October</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2025 and adopted at a Meeting of the Playgroup Management Committee held on </w:t>
      </w:r>
      <w:r w:rsidDel="00000000" w:rsidR="00000000" w:rsidRPr="00000000">
        <w:rPr>
          <w:rFonts w:ascii="Comic Sans MS" w:cs="Comic Sans MS" w:eastAsia="Comic Sans MS" w:hAnsi="Comic Sans MS"/>
          <w:sz w:val="22"/>
          <w:szCs w:val="22"/>
          <w:rtl w:val="0"/>
        </w:rPr>
        <w:t xml:space="preserve">20th October</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2025</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Signed on Behalf of the Playgroup Management Committee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ab/>
        <w:tab/>
        <w:tab/>
        <w:tab/>
        <w:t xml:space="preserve">Position Held: Chair of Management Committee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1"/>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To be Reviewed: November 2026</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1"/>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mic Sans MS"/>
  <w:font w:name="Arial"/>
  <w:font w:name="Courier New"/>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335" w:hanging="615"/>
      </w:pPr>
      <w:rPr>
        <w:rFonts w:ascii="Arial" w:cs="Arial" w:eastAsia="Arial" w:hAnsi="Arial"/>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i w:val="1"/>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21678A"/>
    <w:pPr>
      <w:spacing w:after="0" w:line="240" w:lineRule="auto"/>
    </w:pPr>
  </w:style>
  <w:style w:type="paragraph" w:styleId="BalloonText">
    <w:name w:val="Balloon Text"/>
    <w:basedOn w:val="Normal"/>
    <w:link w:val="BalloonTextChar"/>
    <w:uiPriority w:val="99"/>
    <w:semiHidden w:val="1"/>
    <w:unhideWhenUsed w:val="1"/>
    <w:rsid w:val="0021678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678A"/>
    <w:rPr>
      <w:rFonts w:ascii="Tahoma" w:cs="Tahoma" w:hAnsi="Tahoma"/>
      <w:sz w:val="16"/>
      <w:szCs w:val="16"/>
    </w:rPr>
  </w:style>
  <w:style w:type="character" w:styleId="TitleChar" w:customStyle="1">
    <w:name w:val="Title Char"/>
    <w:basedOn w:val="DefaultParagraphFont"/>
    <w:link w:val="Title"/>
    <w:rsid w:val="0021678A"/>
    <w:rPr>
      <w:rFonts w:ascii="Times New Roman" w:cs="Times New Roman" w:eastAsia="Times New Roman" w:hAnsi="Times New Roman"/>
      <w:b w:val="1"/>
      <w:bCs w:val="1"/>
      <w:sz w:val="28"/>
      <w:szCs w:val="24"/>
    </w:rPr>
  </w:style>
  <w:style w:type="paragraph" w:styleId="BodyText">
    <w:name w:val="Body Text"/>
    <w:basedOn w:val="Normal"/>
    <w:link w:val="BodyTextChar"/>
    <w:rsid w:val="0021678A"/>
    <w:rPr>
      <w:b w:val="1"/>
      <w:bCs w:val="1"/>
    </w:rPr>
  </w:style>
  <w:style w:type="character" w:styleId="BodyTextChar" w:customStyle="1">
    <w:name w:val="Body Text Char"/>
    <w:basedOn w:val="DefaultParagraphFont"/>
    <w:link w:val="BodyText"/>
    <w:rsid w:val="0021678A"/>
    <w:rPr>
      <w:rFonts w:ascii="Times New Roman" w:cs="Times New Roman" w:eastAsia="Times New Roman" w:hAnsi="Times New Roman"/>
      <w:b w:val="1"/>
      <w:bCs w:val="1"/>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val="1"/>
    <w:rsid w:val="00F4587E"/>
    <w:pPr>
      <w:ind w:left="720"/>
      <w:contextualSpacing w:val="1"/>
    </w:pPr>
  </w:style>
  <w:style w:type="character" w:styleId="Heading1Char" w:customStyle="1">
    <w:name w:val="Heading 1 Char"/>
    <w:basedOn w:val="DefaultParagraphFont"/>
    <w:link w:val="Heading1"/>
    <w:rsid w:val="00D866F2"/>
    <w:rPr>
      <w:rFonts w:ascii="Times New Roman" w:cs="Times New Roman" w:eastAsia="Times New Roman" w:hAnsi="Times New Roman"/>
      <w:b w:val="1"/>
      <w:bCs w:val="1"/>
      <w:i w:val="1"/>
      <w:iCs w:val="1"/>
      <w:sz w:val="24"/>
      <w:szCs w:val="24"/>
    </w:rPr>
  </w:style>
  <w:style w:type="paragraph" w:styleId="EndnoteText">
    <w:name w:val="endnote text"/>
    <w:basedOn w:val="Normal"/>
    <w:link w:val="EndnoteTextChar"/>
    <w:semiHidden w:val="1"/>
    <w:rsid w:val="00D866F2"/>
    <w:rPr>
      <w:rFonts w:ascii="Arial" w:hAnsi="Arial"/>
    </w:rPr>
  </w:style>
  <w:style w:type="character" w:styleId="EndnoteTextChar" w:customStyle="1">
    <w:name w:val="Endnote Text Char"/>
    <w:basedOn w:val="DefaultParagraphFont"/>
    <w:link w:val="EndnoteText"/>
    <w:semiHidden w:val="1"/>
    <w:rsid w:val="00D866F2"/>
    <w:rPr>
      <w:rFonts w:ascii="Arial" w:cs="Times New Roman" w:eastAsia="Times New Roman" w:hAnsi="Arial"/>
      <w:sz w:val="24"/>
      <w:szCs w:val="24"/>
    </w:rPr>
  </w:style>
  <w:style w:type="character" w:styleId="Heading2Char" w:customStyle="1">
    <w:name w:val="Heading 2 Char"/>
    <w:basedOn w:val="DefaultParagraphFont"/>
    <w:link w:val="Heading2"/>
    <w:uiPriority w:val="9"/>
    <w:semiHidden w:val="1"/>
    <w:rsid w:val="0073204B"/>
    <w:rPr>
      <w:rFonts w:asciiTheme="majorHAnsi" w:cstheme="majorBidi" w:eastAsiaTheme="majorEastAsia" w:hAnsiTheme="majorHAnsi"/>
      <w:b w:val="1"/>
      <w:bCs w:val="1"/>
      <w:color w:val="4f81bd" w:themeColor="accent1"/>
      <w:sz w:val="26"/>
      <w:szCs w:val="26"/>
    </w:rPr>
  </w:style>
  <w:style w:type="character" w:styleId="Heading4Char" w:customStyle="1">
    <w:name w:val="Heading 4 Char"/>
    <w:basedOn w:val="DefaultParagraphFont"/>
    <w:link w:val="Heading4"/>
    <w:uiPriority w:val="9"/>
    <w:semiHidden w:val="1"/>
    <w:rsid w:val="004A2B60"/>
    <w:rPr>
      <w:rFonts w:asciiTheme="majorHAnsi" w:cstheme="majorBidi" w:eastAsiaTheme="majorEastAsia" w:hAnsiTheme="majorHAnsi"/>
      <w:b w:val="1"/>
      <w:bCs w:val="1"/>
      <w:i w:val="1"/>
      <w:iCs w:val="1"/>
      <w:color w:val="4f81bd" w:themeColor="accent1"/>
      <w:sz w:val="24"/>
      <w:szCs w:val="24"/>
    </w:rPr>
  </w:style>
  <w:style w:type="character" w:styleId="Heading3Char" w:customStyle="1">
    <w:name w:val="Heading 3 Char"/>
    <w:basedOn w:val="DefaultParagraphFont"/>
    <w:link w:val="Heading3"/>
    <w:uiPriority w:val="9"/>
    <w:semiHidden w:val="1"/>
    <w:rsid w:val="00852706"/>
    <w:rPr>
      <w:rFonts w:asciiTheme="majorHAnsi" w:cstheme="majorBidi" w:eastAsiaTheme="majorEastAsia" w:hAnsiTheme="majorHAnsi"/>
      <w:b w:val="1"/>
      <w:bCs w:val="1"/>
      <w:color w:val="4f81bd" w:themeColor="accent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s://portal.eyalliance.org.uk/Shop#!prod/43aaf2a6-7364-ea11-a811-000d3a0bad7c/curr/GBP" TargetMode="External"/><Relationship Id="rId10" Type="http://schemas.openxmlformats.org/officeDocument/2006/relationships/hyperlink" Target="http://www.gov.uk/government/publications/health-protection-in-schools-and-other-childcare-facilities/chapter-4-what-to-do-if-you-suspect-an-outbreak-of-infection" TargetMode="Externa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VPa+4GRMFpk8cXZJrse1Lg+77g==">CgMxLjAyDmgubXE1ajc4MTF5MGhkOAByITExTU10SE1DSVZ5a1RWRGV2UVgzbzJZeWZ4QVo5aHV4dQ==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2025-01-06T13:00:00Z</dcterms:created>
  <dc:creator>Ian</dc:creator>
</cp:coreProperties>
</file>