
<file path=[Content_Types].xml><?xml version="1.0" encoding="utf-8"?>
<Types xmlns="http://schemas.openxmlformats.org/package/2006/content-types">
  <Default ContentType="application/xml" Extension="xml"/>
  <Default ContentType="application/x-font-ttf" Extension="ttf"/>
  <Default ContentType="image/png" Extension="png"/>
  <Default ContentType="image/x-emf" Extension="em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bookmarkStart w:colFirst="0" w:colLast="0" w:name="_heading=h.763184v2n8zc" w:id="0"/>
      <w:bookmarkEnd w:id="0"/>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1286828</wp:posOffset>
                </wp:positionH>
                <wp:positionV relativeFrom="paragraph">
                  <wp:posOffset>-389571</wp:posOffset>
                </wp:positionV>
                <wp:extent cx="5175250" cy="1259205"/>
                <wp:effectExtent b="0" l="0" r="0" t="0"/>
                <wp:wrapNone/>
                <wp:docPr id="5" name=""/>
                <a:graphic>
                  <a:graphicData uri="http://schemas.microsoft.com/office/word/2010/wordprocessingShape">
                    <wps:wsp>
                      <wps:cNvSpPr/>
                      <wps:cNvPr id="2" name="Shape 2"/>
                      <wps:spPr>
                        <a:xfrm>
                          <a:off x="2763138" y="3155160"/>
                          <a:ext cx="5165725" cy="124968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Embsay with Eastby Pre-School Playgroup</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and Out of School Club</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8"/>
                                <w:u w:val="single"/>
                                <w:vertAlign w:val="baseline"/>
                              </w:rPr>
                            </w: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Health Procedures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Health Policy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1286828</wp:posOffset>
                </wp:positionH>
                <wp:positionV relativeFrom="paragraph">
                  <wp:posOffset>-389571</wp:posOffset>
                </wp:positionV>
                <wp:extent cx="5175250" cy="1259205"/>
                <wp:effectExtent b="0" l="0" r="0" t="0"/>
                <wp:wrapNone/>
                <wp:docPr id="5"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175250" cy="125920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-470534</wp:posOffset>
                </wp:positionH>
                <wp:positionV relativeFrom="paragraph">
                  <wp:posOffset>-387349</wp:posOffset>
                </wp:positionV>
                <wp:extent cx="1757680" cy="1068705"/>
                <wp:wrapNone/>
                <wp:docPr id="4" name=""/>
                <a:graphic>
                  <a:graphicData uri="http://schemas.microsoft.com/office/word/2010/wordprocessingShape">
                    <wps:wsp>
                      <wps:cNvSpPr txBox="1">
                        <a:spLocks noChangeArrowheads="1"/>
                      </wps:cNvSpPr>
                      <wps:spPr bwMode="auto">
                        <a:xfrm>
                          <a:off x="0" y="0"/>
                          <a:ext cx="1757680" cy="1068705"/>
                        </a:xfrm>
                        <a:prstGeom prst="rect">
                          <a:avLst/>
                        </a:prstGeom>
                        <a:noFill/>
                        <a:ln>
                          <a:noFill/>
                        </a:ln>
                        <a:extLst>
                          <a:ext uri="{909E8E84-426E-40DD-AFC4-6F175D3DCCD1}"/>
                          <a:ext uri="{91240B29-F687-4F45-9708-019B960494DF}"/>
                        </a:extLst>
                      </wps:spPr>
                      <wps:txbx>
                        <w:txbxContent>
                          <w:p w:rsidR="0021678A" w:rsidDel="00000000" w:rsidP="00000000" w:rsidRDefault="0021678A" w:rsidRPr="00000000" w14:paraId="659B6E48" w14:textId="77777777">
                            <w:r w:rsidDel="00000000" w:rsidR="00000000" w:rsidRPr="00000000">
                              <w:rPr>
                                <w:noProof w:val="1"/>
                                <w:lang w:eastAsia="en-GB"/>
                              </w:rPr>
                              <w:drawing>
                                <wp:inline distB="0" distT="0" distL="0" distR="0">
                                  <wp:extent cx="1557829" cy="926276"/>
                                  <wp:effectExtent b="0" l="19050" r="4271" t="0"/>
                                  <wp:docPr id="3" name="Picture 1"/>
                                  <wp:cNvGraphicFramePr>
                                    <a:graphicFrameLocks noChangeAspect="1"/>
                                  </wp:cNvGraphicFramePr>
                                  <a:graphic>
                                    <a:graphicData uri="http://schemas.openxmlformats.org/drawingml/2006/picture">
                                      <pic:pic>
                                        <pic:nvPicPr>
                                          <pic:cNvPr id="0" name="Picture 1"/>
                                          <pic:cNvPicPr>
                                            <a:picLocks noChangeAspect="1" noChangeArrowheads="1"/>
                                          </pic:cNvPicPr>
                                        </pic:nvPicPr>
                                        <pic:blipFill>
                                          <a:blip r:embed="rId1"/>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wps:txbx>
                      <wps:bodyPr anchorCtr="0" anchor="t" bIns="45720" lIns="91440" rIns="91440" rot="0" upright="1" vert="horz" wrap="square" tIns="4572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-470534</wp:posOffset>
                </wp:positionH>
                <wp:positionV relativeFrom="paragraph">
                  <wp:posOffset>-387349</wp:posOffset>
                </wp:positionV>
                <wp:extent cx="1757680" cy="1068705"/>
                <wp:effectExtent b="0" l="0" r="0" t="0"/>
                <wp:wrapNone/>
                <wp:docPr id="4"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757680" cy="1068705"/>
                        </a:xfrm>
                        <a:prstGeom prst="rect"/>
                        <a:ln/>
                      </pic:spPr>
                    </pic:pic>
                  </a:graphicData>
                </a:graphic>
              </wp:anchor>
            </w:drawing>
          </mc:Fallback>
        </mc:AlternateConten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spacing w:line="360" w:lineRule="auto"/>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05">
      <w:pPr>
        <w:tabs>
          <w:tab w:val="left" w:leader="none" w:pos="720"/>
          <w:tab w:val="left" w:leader="none" w:pos="1440"/>
          <w:tab w:val="left" w:leader="none" w:pos="2160"/>
          <w:tab w:val="left" w:leader="none" w:pos="2880"/>
          <w:tab w:val="left" w:leader="none" w:pos="3600"/>
          <w:tab w:val="left" w:leader="none" w:pos="4245"/>
        </w:tabs>
        <w:spacing w:after="120" w:before="120" w:line="360" w:lineRule="auto"/>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06">
      <w:pPr>
        <w:pStyle w:val="Heading1"/>
        <w:spacing w:after="120" w:before="120" w:line="360" w:lineRule="auto"/>
        <w:rPr>
          <w:rFonts w:ascii="Arial" w:cs="Arial" w:eastAsia="Arial" w:hAnsi="Arial"/>
          <w:i w:val="0"/>
          <w:sz w:val="22"/>
          <w:szCs w:val="22"/>
        </w:rPr>
      </w:pPr>
      <w:r w:rsidDel="00000000" w:rsidR="00000000" w:rsidRPr="00000000">
        <w:rPr>
          <w:rFonts w:ascii="Arial" w:cs="Arial" w:eastAsia="Arial" w:hAnsi="Arial"/>
          <w:i w:val="0"/>
          <w:sz w:val="22"/>
          <w:szCs w:val="22"/>
          <w:rtl w:val="0"/>
        </w:rPr>
        <w:t xml:space="preserve">Aim</w:t>
      </w:r>
    </w:p>
    <w:p w:rsidR="00000000" w:rsidDel="00000000" w:rsidP="00000000" w:rsidRDefault="00000000" w:rsidRPr="00000000" w14:paraId="00000007">
      <w:pPr>
        <w:spacing w:after="120"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Our provision is a suitable, clean, and safe place for children to be cared for, where they can grow and learn. They meet all statutory requirements for promoting health and hygiene and fulfil the criteria for meeting the relevant Early Years Foundation Stage Safeguarding and Welfare requirements.</w:t>
      </w:r>
    </w:p>
    <w:p w:rsidR="00000000" w:rsidDel="00000000" w:rsidP="00000000" w:rsidRDefault="00000000" w:rsidRPr="00000000" w14:paraId="00000008">
      <w:pPr>
        <w:spacing w:after="120" w:before="120" w:line="360"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Objectives </w:t>
      </w:r>
    </w:p>
    <w:p w:rsidR="00000000" w:rsidDel="00000000" w:rsidP="00000000" w:rsidRDefault="00000000" w:rsidRPr="00000000" w14:paraId="00000009">
      <w:pPr>
        <w:spacing w:after="120"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We promote health through:</w:t>
      </w:r>
    </w:p>
    <w:p w:rsidR="00000000" w:rsidDel="00000000" w:rsidP="00000000" w:rsidRDefault="00000000" w:rsidRPr="00000000" w14:paraId="0000000A">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Ensuring emergency and first aid treatment is given where necessary.</w:t>
      </w:r>
    </w:p>
    <w:p w:rsidR="00000000" w:rsidDel="00000000" w:rsidP="00000000" w:rsidRDefault="00000000" w:rsidRPr="00000000" w14:paraId="0000000B">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Ensuring that medicine necessary to maintain health is given correctly and in accordance with legal requirements.</w:t>
      </w:r>
    </w:p>
    <w:p w:rsidR="00000000" w:rsidDel="00000000" w:rsidP="00000000" w:rsidRDefault="00000000" w:rsidRPr="00000000" w14:paraId="0000000C">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Identifying allergies and preventing contact with the allergenic substance.</w:t>
      </w:r>
    </w:p>
    <w:p w:rsidR="00000000" w:rsidDel="00000000" w:rsidP="00000000" w:rsidRDefault="00000000" w:rsidRPr="00000000" w14:paraId="0000000D">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Having ongoing discussions with parents/carers to develop allergy action plans for managing individual children’s known allergies and intolerances.</w:t>
      </w:r>
    </w:p>
    <w:p w:rsidR="00000000" w:rsidDel="00000000" w:rsidP="00000000" w:rsidRDefault="00000000" w:rsidRPr="00000000" w14:paraId="0000000E">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Ensuring that all staff are aware of the symptoms and treatments for allergies and anaphylaxis and that children can develop these at any time.</w:t>
      </w:r>
    </w:p>
    <w:p w:rsidR="00000000" w:rsidDel="00000000" w:rsidP="00000000" w:rsidRDefault="00000000" w:rsidRPr="00000000" w14:paraId="0000000F">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Ensuring that all staff know the difference between allergies and intolerances.</w:t>
      </w:r>
    </w:p>
    <w:p w:rsidR="00000000" w:rsidDel="00000000" w:rsidP="00000000" w:rsidRDefault="00000000" w:rsidRPr="00000000" w14:paraId="00000010">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Identifying food ingredients that contain recognised allergens and displaying this information for parents/carers.</w:t>
      </w:r>
    </w:p>
    <w:p w:rsidR="00000000" w:rsidDel="00000000" w:rsidP="00000000" w:rsidRDefault="00000000" w:rsidRPr="00000000" w14:paraId="00000011">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Identifying and promoting health through taking the necessary steps to prevent the spread of infection and taking appropriate action when children are ill.</w:t>
      </w:r>
    </w:p>
    <w:p w:rsidR="00000000" w:rsidDel="00000000" w:rsidP="00000000" w:rsidRDefault="00000000" w:rsidRPr="00000000" w14:paraId="00000012">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Ensuring that food prepared is in line with the child’s individual developmental needs.</w:t>
      </w:r>
    </w:p>
    <w:p w:rsidR="00000000" w:rsidDel="00000000" w:rsidP="00000000" w:rsidRDefault="00000000" w:rsidRPr="00000000" w14:paraId="00000013">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Ensuring that food is prepared for children in a way that prevents choking.</w:t>
      </w:r>
    </w:p>
    <w:p w:rsidR="00000000" w:rsidDel="00000000" w:rsidP="00000000" w:rsidRDefault="00000000" w:rsidRPr="00000000" w14:paraId="00000014">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Ensuring that children are sat on suitable low sized chair when eating.</w:t>
      </w:r>
    </w:p>
    <w:p w:rsidR="00000000" w:rsidDel="00000000" w:rsidP="00000000" w:rsidRDefault="00000000" w:rsidRPr="00000000" w14:paraId="00000015">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Ensuring that children are always in sight and hearing of a staff member, who are all paediatric first aiders, whilst eating and a staff member is sat facing the children wherever possible.</w:t>
      </w:r>
    </w:p>
    <w:p w:rsidR="00000000" w:rsidDel="00000000" w:rsidP="00000000" w:rsidRDefault="00000000" w:rsidRPr="00000000" w14:paraId="00000016">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Recording all choking incidents that requires intervention.</w:t>
      </w:r>
    </w:p>
    <w:p w:rsidR="00000000" w:rsidDel="00000000" w:rsidP="00000000" w:rsidRDefault="00000000" w:rsidRPr="00000000" w14:paraId="00000017">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Promoting healthy lifestyle choices through diet and exercise.</w:t>
      </w:r>
    </w:p>
    <w:p w:rsidR="00000000" w:rsidDel="00000000" w:rsidP="00000000" w:rsidRDefault="00000000" w:rsidRPr="00000000" w14:paraId="00000018">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Supporting parents right to choose complementary therapies.</w:t>
      </w:r>
    </w:p>
    <w:p w:rsidR="00000000" w:rsidDel="00000000" w:rsidP="00000000" w:rsidRDefault="00000000" w:rsidRPr="00000000" w14:paraId="00000019">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Pandemic flu planning or illness outbreak management as per DfE and World Health Organisation (WHO) guidance.</w:t>
      </w:r>
    </w:p>
    <w:p w:rsidR="00000000" w:rsidDel="00000000" w:rsidP="00000000" w:rsidRDefault="00000000" w:rsidRPr="00000000" w14:paraId="0000001A">
      <w:pPr>
        <w:spacing w:after="120" w:before="120" w:line="360" w:lineRule="auto"/>
        <w:rPr>
          <w:rFonts w:ascii="Arial" w:cs="Arial" w:eastAsia="Arial" w:hAnsi="Arial"/>
          <w:b w:val="1"/>
        </w:rPr>
      </w:pPr>
      <w:r w:rsidDel="00000000" w:rsidR="00000000" w:rsidRPr="00000000">
        <w:rPr>
          <w:rFonts w:ascii="Arial" w:cs="Arial" w:eastAsia="Arial" w:hAnsi="Arial"/>
          <w:b w:val="1"/>
          <w:rtl w:val="0"/>
        </w:rPr>
        <w:t xml:space="preserve">Legal references</w:t>
      </w:r>
    </w:p>
    <w:p w:rsidR="00000000" w:rsidDel="00000000" w:rsidP="00000000" w:rsidRDefault="00000000" w:rsidRPr="00000000" w14:paraId="0000001B">
      <w:pPr>
        <w:spacing w:after="120" w:before="120" w:line="360" w:lineRule="auto"/>
        <w:rPr>
          <w:rFonts w:ascii="Arial" w:cs="Arial" w:eastAsia="Arial" w:hAnsi="Arial"/>
          <w:sz w:val="22"/>
          <w:szCs w:val="22"/>
        </w:rPr>
      </w:pPr>
      <w:hyperlink r:id="rId10">
        <w:r w:rsidDel="00000000" w:rsidR="00000000" w:rsidRPr="00000000">
          <w:rPr>
            <w:rFonts w:ascii="Arial" w:cs="Arial" w:eastAsia="Arial" w:hAnsi="Arial"/>
            <w:color w:val="0000ff"/>
            <w:sz w:val="22"/>
            <w:szCs w:val="22"/>
            <w:u w:val="single"/>
            <w:rtl w:val="0"/>
          </w:rPr>
          <w:t xml:space="preserve">Medicines Act (1968)</w:t>
        </w:r>
      </w:hyperlink>
      <w:r w:rsidDel="00000000" w:rsidR="00000000" w:rsidRPr="00000000">
        <w:rPr>
          <w:rtl w:val="0"/>
        </w:rPr>
      </w:r>
    </w:p>
    <w:p w:rsidR="00000000" w:rsidDel="00000000" w:rsidP="00000000" w:rsidRDefault="00000000" w:rsidRPr="00000000" w14:paraId="0000001C">
      <w:pPr>
        <w:spacing w:after="120" w:before="120" w:line="360" w:lineRule="auto"/>
        <w:rPr>
          <w:rFonts w:ascii="Arial" w:cs="Arial" w:eastAsia="Arial" w:hAnsi="Arial"/>
          <w:sz w:val="22"/>
          <w:szCs w:val="22"/>
        </w:rPr>
      </w:pPr>
      <w:hyperlink r:id="rId11">
        <w:r w:rsidDel="00000000" w:rsidR="00000000" w:rsidRPr="00000000">
          <w:rPr>
            <w:rFonts w:ascii="Arial" w:cs="Arial" w:eastAsia="Arial" w:hAnsi="Arial"/>
            <w:color w:val="0000ff"/>
            <w:sz w:val="22"/>
            <w:szCs w:val="22"/>
            <w:u w:val="single"/>
            <w:rtl w:val="0"/>
          </w:rPr>
          <w:t xml:space="preserve">Reporting of Injuries, Diseases and Dangerous Occurrences Regulations 2013 (RIDDOR)</w:t>
        </w:r>
      </w:hyperlink>
      <w:r w:rsidDel="00000000" w:rsidR="00000000" w:rsidRPr="00000000">
        <w:rPr>
          <w:rtl w:val="0"/>
        </w:rPr>
      </w:r>
    </w:p>
    <w:p w:rsidR="00000000" w:rsidDel="00000000" w:rsidP="00000000" w:rsidRDefault="00000000" w:rsidRPr="00000000" w14:paraId="0000001D">
      <w:pPr>
        <w:spacing w:after="120" w:before="120" w:line="360" w:lineRule="auto"/>
        <w:rPr>
          <w:rFonts w:ascii="Arial" w:cs="Arial" w:eastAsia="Arial" w:hAnsi="Arial"/>
          <w:sz w:val="22"/>
          <w:szCs w:val="22"/>
        </w:rPr>
      </w:pPr>
      <w:hyperlink r:id="rId12">
        <w:r w:rsidDel="00000000" w:rsidR="00000000" w:rsidRPr="00000000">
          <w:rPr>
            <w:rFonts w:ascii="Arial" w:cs="Arial" w:eastAsia="Arial" w:hAnsi="Arial"/>
            <w:color w:val="0000ff"/>
            <w:sz w:val="22"/>
            <w:szCs w:val="22"/>
            <w:u w:val="single"/>
            <w:rtl w:val="0"/>
          </w:rPr>
          <w:t xml:space="preserve">Control of Substances Hazardous to Health (COSHH) Regulations (2002) </w:t>
        </w:r>
      </w:hyperlink>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1E">
      <w:pPr>
        <w:spacing w:after="120" w:before="120" w:line="360" w:lineRule="auto"/>
        <w:rPr>
          <w:rFonts w:ascii="Arial" w:cs="Arial" w:eastAsia="Arial" w:hAnsi="Arial"/>
          <w:sz w:val="22"/>
          <w:szCs w:val="22"/>
        </w:rPr>
      </w:pPr>
      <w:hyperlink r:id="rId13">
        <w:r w:rsidDel="00000000" w:rsidR="00000000" w:rsidRPr="00000000">
          <w:rPr>
            <w:rFonts w:ascii="Arial" w:cs="Arial" w:eastAsia="Arial" w:hAnsi="Arial"/>
            <w:color w:val="0000ff"/>
            <w:sz w:val="22"/>
            <w:szCs w:val="22"/>
            <w:u w:val="single"/>
            <w:rtl w:val="0"/>
          </w:rPr>
          <w:t xml:space="preserve">Health and Safety (First Aid) Regulations 1981</w:t>
        </w:r>
      </w:hyperlink>
      <w:r w:rsidDel="00000000" w:rsidR="00000000" w:rsidRPr="00000000">
        <w:rPr>
          <w:rtl w:val="0"/>
        </w:rPr>
      </w:r>
    </w:p>
    <w:p w:rsidR="00000000" w:rsidDel="00000000" w:rsidP="00000000" w:rsidRDefault="00000000" w:rsidRPr="00000000" w14:paraId="0000001F">
      <w:pPr>
        <w:spacing w:after="120" w:before="120" w:line="360" w:lineRule="auto"/>
        <w:rPr>
          <w:rFonts w:ascii="Arial" w:cs="Arial" w:eastAsia="Arial" w:hAnsi="Arial"/>
          <w:sz w:val="22"/>
          <w:szCs w:val="22"/>
        </w:rPr>
      </w:pPr>
      <w:hyperlink r:id="rId14">
        <w:r w:rsidDel="00000000" w:rsidR="00000000" w:rsidRPr="00000000">
          <w:rPr>
            <w:rFonts w:ascii="Arial" w:cs="Arial" w:eastAsia="Arial" w:hAnsi="Arial"/>
            <w:color w:val="0000ff"/>
            <w:sz w:val="22"/>
            <w:szCs w:val="22"/>
            <w:u w:val="single"/>
            <w:rtl w:val="0"/>
          </w:rPr>
          <w:t xml:space="preserve">Food Information Regulations 2014</w:t>
        </w:r>
      </w:hyperlink>
      <w:r w:rsidDel="00000000" w:rsidR="00000000" w:rsidRPr="00000000">
        <w:rPr>
          <w:rtl w:val="0"/>
        </w:rPr>
      </w:r>
    </w:p>
    <w:p w:rsidR="00000000" w:rsidDel="00000000" w:rsidP="00000000" w:rsidRDefault="00000000" w:rsidRPr="00000000" w14:paraId="00000020">
      <w:pPr>
        <w:spacing w:after="120" w:before="120" w:line="360" w:lineRule="auto"/>
        <w:rPr>
          <w:rFonts w:ascii="Arial" w:cs="Arial" w:eastAsia="Arial" w:hAnsi="Arial"/>
          <w:color w:val="ff0000"/>
          <w:sz w:val="22"/>
          <w:szCs w:val="22"/>
        </w:rPr>
      </w:pPr>
      <w:hyperlink r:id="rId15">
        <w:r w:rsidDel="00000000" w:rsidR="00000000" w:rsidRPr="00000000">
          <w:rPr>
            <w:rFonts w:ascii="Arial" w:cs="Arial" w:eastAsia="Arial" w:hAnsi="Arial"/>
            <w:color w:val="0000ff"/>
            <w:sz w:val="22"/>
            <w:szCs w:val="22"/>
            <w:u w:val="single"/>
            <w:rtl w:val="0"/>
          </w:rPr>
          <w:t xml:space="preserve">Early Years Foundation Stage 2025</w:t>
        </w:r>
      </w:hyperlink>
      <w:r w:rsidDel="00000000" w:rsidR="00000000" w:rsidRPr="00000000">
        <w:rPr>
          <w:rtl w:val="0"/>
        </w:rPr>
      </w:r>
    </w:p>
    <w:p w:rsidR="00000000" w:rsidDel="00000000" w:rsidP="00000000" w:rsidRDefault="00000000" w:rsidRPr="00000000" w14:paraId="00000021">
      <w:pPr>
        <w:spacing w:after="120" w:before="120" w:line="360"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Further guidance</w:t>
      </w:r>
    </w:p>
    <w:p w:rsidR="00000000" w:rsidDel="00000000" w:rsidP="00000000" w:rsidRDefault="00000000" w:rsidRPr="00000000" w14:paraId="00000022">
      <w:pPr>
        <w:tabs>
          <w:tab w:val="left" w:leader="none" w:pos="1440"/>
        </w:tabs>
        <w:spacing w:after="120" w:before="120" w:line="360" w:lineRule="auto"/>
        <w:ind w:left="2160" w:hanging="2160"/>
        <w:rPr>
          <w:rFonts w:ascii="Arial" w:cs="Arial" w:eastAsia="Arial" w:hAnsi="Arial"/>
          <w:sz w:val="22"/>
          <w:szCs w:val="22"/>
        </w:rPr>
      </w:pPr>
      <w:hyperlink r:id="rId16">
        <w:r w:rsidDel="00000000" w:rsidR="00000000" w:rsidRPr="00000000">
          <w:rPr>
            <w:rFonts w:ascii="Arial" w:cs="Arial" w:eastAsia="Arial" w:hAnsi="Arial"/>
            <w:color w:val="0000ff"/>
            <w:sz w:val="22"/>
            <w:szCs w:val="22"/>
            <w:u w:val="single"/>
            <w:rtl w:val="0"/>
          </w:rPr>
          <w:t xml:space="preserve">Accident Record</w:t>
        </w:r>
      </w:hyperlink>
      <w:r w:rsidDel="00000000" w:rsidR="00000000" w:rsidRPr="00000000">
        <w:rPr>
          <w:rFonts w:ascii="Arial" w:cs="Arial" w:eastAsia="Arial" w:hAnsi="Arial"/>
          <w:sz w:val="22"/>
          <w:szCs w:val="22"/>
          <w:rtl w:val="0"/>
        </w:rPr>
        <w:t xml:space="preserve"> (Alliance Publication)</w:t>
      </w:r>
    </w:p>
    <w:p w:rsidR="00000000" w:rsidDel="00000000" w:rsidP="00000000" w:rsidRDefault="00000000" w:rsidRPr="00000000" w14:paraId="00000023">
      <w:pPr>
        <w:spacing w:after="120" w:before="120" w:line="36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4">
      <w:pPr>
        <w:tabs>
          <w:tab w:val="left" w:leader="none" w:pos="720"/>
          <w:tab w:val="left" w:leader="none" w:pos="1440"/>
          <w:tab w:val="left" w:leader="none" w:pos="2160"/>
          <w:tab w:val="left" w:leader="none" w:pos="2880"/>
          <w:tab w:val="left" w:leader="none" w:pos="3600"/>
          <w:tab w:val="left" w:leader="none" w:pos="4245"/>
        </w:tabs>
        <w:spacing w:after="120" w:before="120" w:line="360" w:lineRule="auto"/>
        <w:rPr>
          <w:color w:val="548dd4"/>
        </w:rPr>
      </w:pPr>
      <w:r w:rsidDel="00000000" w:rsidR="00000000" w:rsidRPr="00000000">
        <w:rPr>
          <w:rtl w:val="0"/>
        </w:rPr>
      </w:r>
    </w:p>
    <w:p w:rsidR="00000000" w:rsidDel="00000000" w:rsidP="00000000" w:rsidRDefault="00000000" w:rsidRPr="00000000" w14:paraId="00000025">
      <w:pPr>
        <w:spacing w:line="360" w:lineRule="auto"/>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Member of Staff responsible for Health &amp; Safety: </w:t>
      </w:r>
      <w:r w:rsidDel="00000000" w:rsidR="00000000" w:rsidRPr="00000000">
        <w:rPr>
          <w:rFonts w:ascii="Arial" w:cs="Arial" w:eastAsia="Arial" w:hAnsi="Arial"/>
          <w:sz w:val="22"/>
          <w:szCs w:val="22"/>
          <w:rtl w:val="0"/>
        </w:rPr>
        <w:t xml:space="preserve">Kazia Hutchinson</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&amp; Judith Duxbury</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Policy was reviewed in August 2025 and adopted at a Meeting of the Playgroup Management Committee held on</w:t>
      </w:r>
      <w:r w:rsidDel="00000000" w:rsidR="00000000" w:rsidRPr="00000000">
        <w:rPr>
          <w:rFonts w:ascii="Arial" w:cs="Arial" w:eastAsia="Arial" w:hAnsi="Arial"/>
          <w:sz w:val="22"/>
          <w:szCs w:val="22"/>
          <w:rtl w:val="0"/>
        </w:rPr>
        <w:t xml:space="preserve"> 20th October</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2025</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Signed on Behalf of the Playgroup Management Committee</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tab/>
        <w:tab/>
        <w:tab/>
        <w:t xml:space="preserve">Position Held: Chair of Management Committee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be Reviewed: November 2026</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tl w:val="0"/>
        </w:rPr>
      </w:r>
    </w:p>
    <w:sectPr>
      <w:pgSz w:h="16838" w:w="11906" w:orient="portrait"/>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omic Sans MS"/>
  <w:font w:name="Arial"/>
  <w:font w:name="Courier New"/>
  <w:font w:name="Noto Sans Symbols">
    <w:embedRegular w:fontKey="{00000000-0000-0000-0000-000000000000}" r:id="rId2" w:subsetted="0"/>
    <w:embedBold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i w:val="1"/>
    </w:rPr>
  </w:style>
  <w:style w:type="paragraph" w:styleId="Heading2">
    <w:name w:val="heading 2"/>
    <w:basedOn w:val="Normal"/>
    <w:next w:val="Normal"/>
    <w:pPr>
      <w:keepNext w:val="1"/>
      <w:keepLines w:val="1"/>
      <w:spacing w:before="200"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color w:val="4f81bd"/>
    </w:rPr>
  </w:style>
  <w:style w:type="paragraph" w:styleId="Heading4">
    <w:name w:val="heading 4"/>
    <w:basedOn w:val="Normal"/>
    <w:next w:val="Normal"/>
    <w:pPr>
      <w:keepNext w:val="1"/>
      <w:keepLines w:val="1"/>
      <w:spacing w:before="200" w:lineRule="auto"/>
    </w:pPr>
    <w:rPr>
      <w:rFonts w:ascii="Cambria" w:cs="Cambria" w:eastAsia="Cambria" w:hAnsi="Cambria"/>
      <w:b w:val="1"/>
      <w:i w:val="1"/>
      <w:color w:val="4f81bd"/>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sz w:val="28"/>
      <w:szCs w:val="2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21678A"/>
    <w:pPr>
      <w:spacing w:after="0" w:line="240" w:lineRule="auto"/>
    </w:pPr>
  </w:style>
  <w:style w:type="paragraph" w:styleId="BalloonText">
    <w:name w:val="Balloon Text"/>
    <w:basedOn w:val="Normal"/>
    <w:link w:val="BalloonTextChar"/>
    <w:uiPriority w:val="99"/>
    <w:semiHidden w:val="1"/>
    <w:unhideWhenUsed w:val="1"/>
    <w:rsid w:val="0021678A"/>
    <w:rPr>
      <w:rFonts w:ascii="Tahoma" w:cs="Tahoma" w:hAnsi="Tahoma"/>
      <w:sz w:val="16"/>
      <w:szCs w:val="16"/>
    </w:rPr>
  </w:style>
  <w:style w:type="character" w:styleId="BalloonTextChar" w:customStyle="1">
    <w:name w:val="Balloon Text Char"/>
    <w:basedOn w:val="DefaultParagraphFont"/>
    <w:link w:val="BalloonText"/>
    <w:uiPriority w:val="99"/>
    <w:semiHidden w:val="1"/>
    <w:rsid w:val="0021678A"/>
    <w:rPr>
      <w:rFonts w:ascii="Tahoma" w:cs="Tahoma" w:hAnsi="Tahoma"/>
      <w:sz w:val="16"/>
      <w:szCs w:val="16"/>
    </w:rPr>
  </w:style>
  <w:style w:type="character" w:styleId="TitleChar" w:customStyle="1">
    <w:name w:val="Title Char"/>
    <w:basedOn w:val="DefaultParagraphFont"/>
    <w:link w:val="Title"/>
    <w:rsid w:val="0021678A"/>
    <w:rPr>
      <w:rFonts w:ascii="Times New Roman" w:cs="Times New Roman" w:eastAsia="Times New Roman" w:hAnsi="Times New Roman"/>
      <w:b w:val="1"/>
      <w:bCs w:val="1"/>
      <w:sz w:val="28"/>
      <w:szCs w:val="24"/>
    </w:rPr>
  </w:style>
  <w:style w:type="paragraph" w:styleId="BodyText">
    <w:name w:val="Body Text"/>
    <w:basedOn w:val="Normal"/>
    <w:link w:val="BodyTextChar"/>
    <w:rsid w:val="0021678A"/>
    <w:rPr>
      <w:b w:val="1"/>
      <w:bCs w:val="1"/>
    </w:rPr>
  </w:style>
  <w:style w:type="character" w:styleId="BodyTextChar" w:customStyle="1">
    <w:name w:val="Body Text Char"/>
    <w:basedOn w:val="DefaultParagraphFont"/>
    <w:link w:val="BodyText"/>
    <w:rsid w:val="0021678A"/>
    <w:rPr>
      <w:rFonts w:ascii="Times New Roman" w:cs="Times New Roman" w:eastAsia="Times New Roman" w:hAnsi="Times New Roman"/>
      <w:b w:val="1"/>
      <w:bCs w:val="1"/>
      <w:sz w:val="24"/>
      <w:szCs w:val="24"/>
    </w:rPr>
  </w:style>
  <w:style w:type="character" w:styleId="Hyperlink">
    <w:name w:val="Hyperlink"/>
    <w:uiPriority w:val="99"/>
    <w:rsid w:val="0021678A"/>
    <w:rPr>
      <w:color w:val="0000ff"/>
      <w:u w:val="single"/>
    </w:rPr>
  </w:style>
  <w:style w:type="paragraph" w:styleId="ListParagraph">
    <w:name w:val="List Paragraph"/>
    <w:basedOn w:val="Normal"/>
    <w:uiPriority w:val="34"/>
    <w:qFormat w:val="1"/>
    <w:rsid w:val="00F4587E"/>
    <w:pPr>
      <w:ind w:left="720"/>
      <w:contextualSpacing w:val="1"/>
    </w:pPr>
  </w:style>
  <w:style w:type="character" w:styleId="Heading1Char" w:customStyle="1">
    <w:name w:val="Heading 1 Char"/>
    <w:basedOn w:val="DefaultParagraphFont"/>
    <w:link w:val="Heading1"/>
    <w:rsid w:val="00D866F2"/>
    <w:rPr>
      <w:rFonts w:ascii="Times New Roman" w:cs="Times New Roman" w:eastAsia="Times New Roman" w:hAnsi="Times New Roman"/>
      <w:b w:val="1"/>
      <w:bCs w:val="1"/>
      <w:i w:val="1"/>
      <w:iCs w:val="1"/>
      <w:sz w:val="24"/>
      <w:szCs w:val="24"/>
    </w:rPr>
  </w:style>
  <w:style w:type="paragraph" w:styleId="EndnoteText">
    <w:name w:val="endnote text"/>
    <w:basedOn w:val="Normal"/>
    <w:link w:val="EndnoteTextChar"/>
    <w:semiHidden w:val="1"/>
    <w:rsid w:val="00D866F2"/>
    <w:rPr>
      <w:rFonts w:ascii="Arial" w:hAnsi="Arial"/>
    </w:rPr>
  </w:style>
  <w:style w:type="character" w:styleId="EndnoteTextChar" w:customStyle="1">
    <w:name w:val="Endnote Text Char"/>
    <w:basedOn w:val="DefaultParagraphFont"/>
    <w:link w:val="EndnoteText"/>
    <w:semiHidden w:val="1"/>
    <w:rsid w:val="00D866F2"/>
    <w:rPr>
      <w:rFonts w:ascii="Arial" w:cs="Times New Roman" w:eastAsia="Times New Roman" w:hAnsi="Arial"/>
      <w:sz w:val="24"/>
      <w:szCs w:val="24"/>
    </w:rPr>
  </w:style>
  <w:style w:type="character" w:styleId="Heading2Char" w:customStyle="1">
    <w:name w:val="Heading 2 Char"/>
    <w:basedOn w:val="DefaultParagraphFont"/>
    <w:link w:val="Heading2"/>
    <w:uiPriority w:val="9"/>
    <w:semiHidden w:val="1"/>
    <w:rsid w:val="0073204B"/>
    <w:rPr>
      <w:rFonts w:asciiTheme="majorHAnsi" w:cstheme="majorBidi" w:eastAsiaTheme="majorEastAsia" w:hAnsiTheme="majorHAnsi"/>
      <w:b w:val="1"/>
      <w:bCs w:val="1"/>
      <w:color w:val="4f81bd" w:themeColor="accent1"/>
      <w:sz w:val="26"/>
      <w:szCs w:val="26"/>
    </w:rPr>
  </w:style>
  <w:style w:type="character" w:styleId="Heading4Char" w:customStyle="1">
    <w:name w:val="Heading 4 Char"/>
    <w:basedOn w:val="DefaultParagraphFont"/>
    <w:link w:val="Heading4"/>
    <w:uiPriority w:val="9"/>
    <w:semiHidden w:val="1"/>
    <w:rsid w:val="004A2B60"/>
    <w:rPr>
      <w:rFonts w:asciiTheme="majorHAnsi" w:cstheme="majorBidi" w:eastAsiaTheme="majorEastAsia" w:hAnsiTheme="majorHAnsi"/>
      <w:b w:val="1"/>
      <w:bCs w:val="1"/>
      <w:i w:val="1"/>
      <w:iCs w:val="1"/>
      <w:color w:val="4f81bd" w:themeColor="accent1"/>
      <w:sz w:val="24"/>
      <w:szCs w:val="24"/>
    </w:rPr>
  </w:style>
  <w:style w:type="character" w:styleId="Heading3Char" w:customStyle="1">
    <w:name w:val="Heading 3 Char"/>
    <w:basedOn w:val="DefaultParagraphFont"/>
    <w:link w:val="Heading3"/>
    <w:uiPriority w:val="9"/>
    <w:semiHidden w:val="1"/>
    <w:rsid w:val="00852706"/>
    <w:rPr>
      <w:rFonts w:asciiTheme="majorHAnsi" w:cstheme="majorBidi" w:eastAsiaTheme="majorEastAsia" w:hAnsiTheme="majorHAnsi"/>
      <w:b w:val="1"/>
      <w:bCs w:val="1"/>
      <w:color w:val="4f81bd" w:themeColor="accent1"/>
      <w:sz w:val="24"/>
      <w:szCs w:val="24"/>
    </w:rPr>
  </w:style>
  <w:style w:type="character" w:styleId="UnresolvedMention">
    <w:name w:val="Unresolved Mention"/>
    <w:basedOn w:val="DefaultParagraphFont"/>
    <w:uiPriority w:val="99"/>
    <w:semiHidden w:val="1"/>
    <w:unhideWhenUsed w:val="1"/>
    <w:rsid w:val="009961BA"/>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about:blank" TargetMode="External"/><Relationship Id="rId10" Type="http://schemas.openxmlformats.org/officeDocument/2006/relationships/hyperlink" Target="https://www.legislation.gov.uk/ukpga/1968/67" TargetMode="External"/><Relationship Id="rId13" Type="http://schemas.openxmlformats.org/officeDocument/2006/relationships/hyperlink" Target="https://www.legislation.gov.uk/uksi/1981/917/regulation/3" TargetMode="External"/><Relationship Id="rId12" Type="http://schemas.openxmlformats.org/officeDocument/2006/relationships/hyperlink" Target="https://www.legislation.gov.uk/uksi/2002/2677/regulation/7" TargetMode="External"/><Relationship Id="rId1" Type="http://schemas.openxmlformats.org/officeDocument/2006/relationships/image" Target="media/image1.emf"/><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2.png"/><Relationship Id="rId15" Type="http://schemas.openxmlformats.org/officeDocument/2006/relationships/hyperlink" Target="https://www.gov.uk/government/publications/early-years-foundation-stage-framework--2" TargetMode="External"/><Relationship Id="rId14" Type="http://schemas.openxmlformats.org/officeDocument/2006/relationships/hyperlink" Target="https://www.legislation.gov.uk/uksi/2014/1855/contents" TargetMode="External"/><Relationship Id="rId16"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2" Type="http://schemas.openxmlformats.org/officeDocument/2006/relationships/font" Target="fonts/NotoSansSymbols-regular.ttf"/><Relationship Id="rId3"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FLUe4f17BrLMx+FxTeXDizLBRQ==">CgMxLjAyDmguNzYzMTg0djJuOHpjOAByITFGbnFNRk9CWTlwYUh3b3A2dU9xZ0dJUXFMMEYwRExjSA==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2025-08-06T14:18:00Z</dcterms:created>
  <dc:creator>Ian</dc:creator>
</cp:coreProperties>
</file>