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10E" w:rsidRDefault="00A96489">
      <w:pPr>
        <w:pBdr>
          <w:top w:val="nil"/>
          <w:left w:val="nil"/>
          <w:bottom w:val="nil"/>
          <w:right w:val="nil"/>
          <w:between w:val="nil"/>
        </w:pBdr>
        <w:rPr>
          <w:rFonts w:ascii="Comic Sans MS" w:eastAsia="Comic Sans MS" w:hAnsi="Comic Sans MS" w:cs="Comic Sans MS"/>
          <w:color w:val="000000"/>
          <w:sz w:val="22"/>
          <w:szCs w:val="22"/>
        </w:rPr>
      </w:pPr>
      <w:r>
        <w:rPr>
          <w:noProof/>
        </w:rPr>
        <mc:AlternateContent>
          <mc:Choice Requires="wpg">
            <w:drawing>
              <wp:anchor distT="0" distB="0" distL="114300" distR="114300" simplePos="0" relativeHeight="251658240" behindDoc="0" locked="0" layoutInCell="1" hidden="0" allowOverlap="1">
                <wp:simplePos x="0" y="0"/>
                <wp:positionH relativeFrom="column">
                  <wp:posOffset>1284923</wp:posOffset>
                </wp:positionH>
                <wp:positionV relativeFrom="paragraph">
                  <wp:posOffset>-391476</wp:posOffset>
                </wp:positionV>
                <wp:extent cx="5175250" cy="1219200"/>
                <wp:effectExtent l="0" t="0" r="0" b="0"/>
                <wp:wrapNone/>
                <wp:docPr id="5" name="Rectangle 5"/>
                <wp:cNvGraphicFramePr/>
                <a:graphic xmlns:a="http://schemas.openxmlformats.org/drawingml/2006/main">
                  <a:graphicData uri="http://schemas.microsoft.com/office/word/2010/wordprocessingShape">
                    <wps:wsp>
                      <wps:cNvSpPr/>
                      <wps:spPr>
                        <a:xfrm>
                          <a:off x="2763138" y="3175163"/>
                          <a:ext cx="5165725" cy="1209675"/>
                        </a:xfrm>
                        <a:prstGeom prst="rect">
                          <a:avLst/>
                        </a:prstGeom>
                        <a:noFill/>
                        <a:ln>
                          <a:noFill/>
                        </a:ln>
                      </wps:spPr>
                      <wps:txbx>
                        <w:txbxContent>
                          <w:p w:rsidR="00C3010E" w:rsidRDefault="00A96489">
                            <w:pPr>
                              <w:jc w:val="center"/>
                              <w:textDirection w:val="btLr"/>
                            </w:pPr>
                            <w:r>
                              <w:rPr>
                                <w:rFonts w:ascii="Comic Sans MS" w:eastAsia="Comic Sans MS" w:hAnsi="Comic Sans MS" w:cs="Comic Sans MS"/>
                                <w:b/>
                                <w:color w:val="000000"/>
                                <w:sz w:val="28"/>
                                <w:u w:val="single"/>
                              </w:rPr>
                              <w:t>Embsay with Eastby Pre-School Playgroup,</w:t>
                            </w:r>
                          </w:p>
                          <w:p w:rsidR="00C3010E" w:rsidRDefault="00A96489">
                            <w:pPr>
                              <w:jc w:val="center"/>
                              <w:textDirection w:val="btLr"/>
                            </w:pPr>
                            <w:r>
                              <w:rPr>
                                <w:rFonts w:ascii="Comic Sans MS" w:eastAsia="Comic Sans MS" w:hAnsi="Comic Sans MS" w:cs="Comic Sans MS"/>
                                <w:b/>
                                <w:color w:val="000000"/>
                                <w:sz w:val="28"/>
                                <w:u w:val="single"/>
                              </w:rPr>
                              <w:t>Out of School &amp; Holiday Club</w:t>
                            </w:r>
                          </w:p>
                          <w:p w:rsidR="00C3010E" w:rsidRDefault="00C3010E">
                            <w:pPr>
                              <w:jc w:val="center"/>
                              <w:textDirection w:val="btLr"/>
                            </w:pPr>
                          </w:p>
                          <w:p w:rsidR="00C3010E" w:rsidRDefault="00A96489">
                            <w:pPr>
                              <w:jc w:val="center"/>
                              <w:textDirection w:val="btLr"/>
                            </w:pPr>
                            <w:r>
                              <w:rPr>
                                <w:rFonts w:ascii="Comic Sans MS" w:eastAsia="Comic Sans MS" w:hAnsi="Comic Sans MS" w:cs="Comic Sans MS"/>
                                <w:color w:val="000000"/>
                                <w:sz w:val="28"/>
                                <w:u w:val="single"/>
                              </w:rPr>
                              <w:t>Food Safety &amp; Nutrition Policy</w:t>
                            </w:r>
                          </w:p>
                          <w:p w:rsidR="00C3010E" w:rsidRDefault="00C3010E">
                            <w:pPr>
                              <w:jc w:val="center"/>
                              <w:textDirection w:val="btLr"/>
                            </w:pPr>
                          </w:p>
                          <w:p w:rsidR="00C3010E" w:rsidRDefault="00C3010E">
                            <w:pPr>
                              <w:jc w:val="center"/>
                              <w:textDirection w:val="btLr"/>
                            </w:pPr>
                          </w:p>
                          <w:p w:rsidR="00C3010E" w:rsidRDefault="00C3010E">
                            <w:pPr>
                              <w:textDirection w:val="btLr"/>
                            </w:pPr>
                          </w:p>
                          <w:p w:rsidR="00C3010E" w:rsidRDefault="00C3010E">
                            <w:pPr>
                              <w:jc w:val="center"/>
                              <w:textDirection w:val="btLr"/>
                            </w:pPr>
                          </w:p>
                          <w:p w:rsidR="00C3010E" w:rsidRDefault="00C3010E">
                            <w:pPr>
                              <w:textDirection w:val="btLr"/>
                            </w:pPr>
                          </w:p>
                          <w:p w:rsidR="00C3010E" w:rsidRDefault="00C3010E">
                            <w:pPr>
                              <w:textDirection w:val="btLr"/>
                            </w:pPr>
                          </w:p>
                          <w:p w:rsidR="00C3010E" w:rsidRDefault="00C3010E">
                            <w:pPr>
                              <w:jc w:val="cente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1284923</wp:posOffset>
                </wp:positionH>
                <wp:positionV relativeFrom="paragraph">
                  <wp:posOffset>-391476</wp:posOffset>
                </wp:positionV>
                <wp:extent cx="5175250" cy="1219200"/>
                <wp:effectExtent b="0" l="0" r="0" t="0"/>
                <wp:wrapNone/>
                <wp:docPr id="5"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5175250" cy="1219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simplePos x="0" y="0"/>
                <wp:positionH relativeFrom="column">
                  <wp:posOffset>-470534</wp:posOffset>
                </wp:positionH>
                <wp:positionV relativeFrom="paragraph">
                  <wp:posOffset>-387349</wp:posOffset>
                </wp:positionV>
                <wp:extent cx="1757680" cy="106870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068705"/>
                        </a:xfrm>
                        <a:prstGeom prst="rect">
                          <a:avLst/>
                        </a:prstGeom>
                        <a:noFill/>
                        <a:ln>
                          <a:noFill/>
                        </a:ln>
                        <a:extLst/>
                      </wps:spPr>
                      <wps:txbx>
                        <w:txbxContent>
                          <w:p w:rsidR="00FD2CE1" w:rsidRDefault="00A96489">
                            <w:r>
                              <w:rPr>
                                <w:noProof/>
                              </w:rPr>
                              <w:drawing>
                                <wp:inline distT="0" distB="0" distL="0" distR="0">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effectExtent b="0" l="0" r="0" t="0"/>
                <wp:wrapNone/>
                <wp:docPr id="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757680" cy="1068705"/>
                        </a:xfrm>
                        <a:prstGeom prst="rect"/>
                        <a:ln/>
                      </pic:spPr>
                    </pic:pic>
                  </a:graphicData>
                </a:graphic>
              </wp:anchor>
            </w:drawing>
          </mc:Fallback>
        </mc:AlternateContent>
      </w:r>
    </w:p>
    <w:p w:rsidR="00C3010E" w:rsidRDefault="00C3010E">
      <w:pPr>
        <w:pBdr>
          <w:top w:val="nil"/>
          <w:left w:val="nil"/>
          <w:bottom w:val="nil"/>
          <w:right w:val="nil"/>
          <w:between w:val="nil"/>
        </w:pBdr>
        <w:rPr>
          <w:rFonts w:ascii="Comic Sans MS" w:eastAsia="Comic Sans MS" w:hAnsi="Comic Sans MS" w:cs="Comic Sans MS"/>
          <w:color w:val="000000"/>
          <w:sz w:val="22"/>
          <w:szCs w:val="22"/>
        </w:rPr>
      </w:pPr>
    </w:p>
    <w:p w:rsidR="00C3010E" w:rsidRDefault="00C3010E">
      <w:pPr>
        <w:pBdr>
          <w:top w:val="nil"/>
          <w:left w:val="nil"/>
          <w:bottom w:val="nil"/>
          <w:right w:val="nil"/>
          <w:between w:val="nil"/>
        </w:pBdr>
        <w:rPr>
          <w:rFonts w:ascii="Comic Sans MS" w:eastAsia="Comic Sans MS" w:hAnsi="Comic Sans MS" w:cs="Comic Sans MS"/>
          <w:color w:val="000000"/>
          <w:sz w:val="22"/>
          <w:szCs w:val="22"/>
        </w:rPr>
      </w:pPr>
    </w:p>
    <w:p w:rsidR="00C3010E" w:rsidRDefault="00C3010E">
      <w:pPr>
        <w:pBdr>
          <w:top w:val="nil"/>
          <w:left w:val="nil"/>
          <w:bottom w:val="nil"/>
          <w:right w:val="nil"/>
          <w:between w:val="nil"/>
        </w:pBdr>
        <w:rPr>
          <w:rFonts w:ascii="Comic Sans MS" w:eastAsia="Comic Sans MS" w:hAnsi="Comic Sans MS" w:cs="Comic Sans MS"/>
          <w:color w:val="000000"/>
          <w:sz w:val="16"/>
          <w:szCs w:val="16"/>
        </w:rPr>
      </w:pPr>
    </w:p>
    <w:p w:rsidR="00C3010E" w:rsidRDefault="00A96489">
      <w:pPr>
        <w:keepNext/>
        <w:spacing w:before="120" w:after="120" w:line="360" w:lineRule="auto"/>
        <w:rPr>
          <w:rFonts w:ascii="Arial" w:eastAsia="Arial" w:hAnsi="Arial" w:cs="Arial"/>
          <w:sz w:val="22"/>
          <w:szCs w:val="22"/>
        </w:rPr>
      </w:pPr>
      <w:r>
        <w:rPr>
          <w:rFonts w:ascii="Arial" w:eastAsia="Arial" w:hAnsi="Arial" w:cs="Arial"/>
          <w:sz w:val="22"/>
          <w:szCs w:val="22"/>
        </w:rPr>
        <w:t>We provide and serve food for children on the following basis:</w:t>
      </w:r>
    </w:p>
    <w:p w:rsidR="00C3010E" w:rsidRDefault="00A96489">
      <w:pPr>
        <w:keepNext/>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Breakfast</w:t>
      </w:r>
    </w:p>
    <w:p w:rsidR="00C3010E" w:rsidRDefault="00A96489">
      <w:pPr>
        <w:keepNext/>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Snacks</w:t>
      </w:r>
    </w:p>
    <w:p w:rsidR="00C3010E" w:rsidRDefault="00A96489">
      <w:pPr>
        <w:keepNext/>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Packed lunches (provided by parents/carers)</w:t>
      </w:r>
    </w:p>
    <w:p w:rsidR="00C3010E" w:rsidRDefault="00A96489">
      <w:pPr>
        <w:keepNext/>
        <w:numPr>
          <w:ilvl w:val="0"/>
          <w:numId w:val="1"/>
        </w:numPr>
        <w:spacing w:before="120" w:after="120" w:line="360" w:lineRule="auto"/>
        <w:rPr>
          <w:rFonts w:ascii="Arial" w:eastAsia="Arial" w:hAnsi="Arial" w:cs="Arial"/>
          <w:sz w:val="22"/>
          <w:szCs w:val="22"/>
        </w:rPr>
      </w:pPr>
      <w:r>
        <w:rPr>
          <w:rFonts w:ascii="Arial" w:eastAsia="Arial" w:hAnsi="Arial" w:cs="Arial"/>
          <w:sz w:val="22"/>
          <w:szCs w:val="22"/>
        </w:rPr>
        <w:t>Substantial light tea</w:t>
      </w:r>
    </w:p>
    <w:p w:rsidR="00C3010E" w:rsidRDefault="00A96489">
      <w:pPr>
        <w:keepNext/>
        <w:spacing w:before="120" w:after="120" w:line="360" w:lineRule="auto"/>
        <w:rPr>
          <w:rFonts w:ascii="Arial" w:eastAsia="Arial" w:hAnsi="Arial" w:cs="Arial"/>
          <w:b/>
        </w:rPr>
      </w:pPr>
      <w:r>
        <w:rPr>
          <w:rFonts w:ascii="Arial" w:eastAsia="Arial" w:hAnsi="Arial" w:cs="Arial"/>
          <w:b/>
        </w:rPr>
        <w:t>Aim</w:t>
      </w:r>
    </w:p>
    <w:p w:rsidR="00C3010E" w:rsidRDefault="00A96489">
      <w:pPr>
        <w:spacing w:before="120" w:after="120" w:line="360" w:lineRule="auto"/>
        <w:rPr>
          <w:rFonts w:ascii="Arial" w:eastAsia="Arial" w:hAnsi="Arial" w:cs="Arial"/>
          <w:sz w:val="22"/>
          <w:szCs w:val="22"/>
        </w:rPr>
      </w:pPr>
      <w:r>
        <w:rPr>
          <w:rFonts w:ascii="Arial" w:eastAsia="Arial" w:hAnsi="Arial" w:cs="Arial"/>
          <w:sz w:val="22"/>
          <w:szCs w:val="22"/>
        </w:rPr>
        <w:t>Our setting is a suitable, clean, and safe place for children to be cared for, where they can grow and learn. We meet all statutory requirements for food safety and fulfil the criteria for meeting the relevant Early Years Foundati</w:t>
      </w:r>
      <w:r>
        <w:rPr>
          <w:rFonts w:ascii="Arial" w:eastAsia="Arial" w:hAnsi="Arial" w:cs="Arial"/>
          <w:sz w:val="22"/>
          <w:szCs w:val="22"/>
        </w:rPr>
        <w:t>on Stage Safeguarding and Welfare requirements.</w:t>
      </w:r>
    </w:p>
    <w:p w:rsidR="00C3010E" w:rsidRDefault="00A96489">
      <w:pPr>
        <w:keepNext/>
        <w:keepLines/>
        <w:spacing w:before="120" w:after="120" w:line="360" w:lineRule="auto"/>
        <w:rPr>
          <w:rFonts w:ascii="Arial" w:eastAsia="Arial" w:hAnsi="Arial" w:cs="Arial"/>
          <w:b/>
          <w:color w:val="000000"/>
        </w:rPr>
      </w:pPr>
      <w:r>
        <w:rPr>
          <w:rFonts w:ascii="Arial" w:eastAsia="Arial" w:hAnsi="Arial" w:cs="Arial"/>
          <w:b/>
          <w:color w:val="000000"/>
        </w:rPr>
        <w:t xml:space="preserve">Objectives </w:t>
      </w:r>
    </w:p>
    <w:p w:rsidR="00C3010E" w:rsidRDefault="00A96489">
      <w:pPr>
        <w:numPr>
          <w:ilvl w:val="0"/>
          <w:numId w:val="2"/>
        </w:numPr>
        <w:spacing w:before="120" w:after="120" w:line="360" w:lineRule="auto"/>
        <w:rPr>
          <w:rFonts w:ascii="Arial" w:eastAsia="Arial" w:hAnsi="Arial" w:cs="Arial"/>
          <w:sz w:val="22"/>
          <w:szCs w:val="22"/>
        </w:rPr>
      </w:pPr>
      <w:r>
        <w:rPr>
          <w:rFonts w:ascii="Arial" w:eastAsia="Arial" w:hAnsi="Arial" w:cs="Arial"/>
          <w:sz w:val="22"/>
          <w:szCs w:val="22"/>
        </w:rPr>
        <w:t>We recognise that we have a corporate responsibility and duty of care for those who work in and receive a service from our provision, but individual employees and service users also have responsibility for ensuring their own safety as well as that of other</w:t>
      </w:r>
      <w:r>
        <w:rPr>
          <w:rFonts w:ascii="Arial" w:eastAsia="Arial" w:hAnsi="Arial" w:cs="Arial"/>
          <w:sz w:val="22"/>
          <w:szCs w:val="22"/>
        </w:rPr>
        <w:t>s. Risk assessment is the key means through which this is achieved.</w:t>
      </w:r>
    </w:p>
    <w:p w:rsidR="00C3010E" w:rsidRDefault="00A96489">
      <w:pPr>
        <w:numPr>
          <w:ilvl w:val="0"/>
          <w:numId w:val="2"/>
        </w:numPr>
        <w:spacing w:before="120" w:after="120" w:line="360" w:lineRule="auto"/>
        <w:rPr>
          <w:rFonts w:ascii="Arial" w:eastAsia="Arial" w:hAnsi="Arial" w:cs="Arial"/>
          <w:sz w:val="22"/>
          <w:szCs w:val="22"/>
        </w:rPr>
      </w:pPr>
      <w:r>
        <w:rPr>
          <w:rFonts w:ascii="Arial" w:eastAsia="Arial" w:hAnsi="Arial" w:cs="Arial"/>
          <w:sz w:val="22"/>
          <w:szCs w:val="22"/>
        </w:rPr>
        <w:t>Kitchen procedures are followed for general hygiene and safety in food preparation areas.</w:t>
      </w:r>
    </w:p>
    <w:p w:rsidR="00C3010E" w:rsidRDefault="00A96489">
      <w:pPr>
        <w:numPr>
          <w:ilvl w:val="0"/>
          <w:numId w:val="3"/>
        </w:numPr>
        <w:spacing w:before="120" w:after="120" w:line="360" w:lineRule="auto"/>
        <w:ind w:left="357" w:hanging="357"/>
        <w:rPr>
          <w:rFonts w:ascii="Arial" w:eastAsia="Arial" w:hAnsi="Arial" w:cs="Arial"/>
          <w:sz w:val="22"/>
          <w:szCs w:val="22"/>
        </w:rPr>
      </w:pPr>
      <w:r>
        <w:rPr>
          <w:rFonts w:ascii="Arial" w:eastAsia="Arial" w:hAnsi="Arial" w:cs="Arial"/>
          <w:sz w:val="22"/>
          <w:szCs w:val="22"/>
        </w:rPr>
        <w:t>We provide nutritionally sound meals and snacks which promote health and reduce the risk of obesit</w:t>
      </w:r>
      <w:r>
        <w:rPr>
          <w:rFonts w:ascii="Arial" w:eastAsia="Arial" w:hAnsi="Arial" w:cs="Arial"/>
          <w:sz w:val="22"/>
          <w:szCs w:val="22"/>
        </w:rPr>
        <w:t xml:space="preserve">y and heart disease that may begin in childhood. </w:t>
      </w:r>
    </w:p>
    <w:p w:rsidR="00C3010E" w:rsidRDefault="00A96489">
      <w:pPr>
        <w:numPr>
          <w:ilvl w:val="0"/>
          <w:numId w:val="3"/>
        </w:numPr>
        <w:spacing w:before="120" w:after="120" w:line="360" w:lineRule="auto"/>
        <w:ind w:left="357" w:hanging="357"/>
        <w:rPr>
          <w:rFonts w:ascii="Arial" w:eastAsia="Arial" w:hAnsi="Arial" w:cs="Arial"/>
          <w:sz w:val="22"/>
          <w:szCs w:val="22"/>
        </w:rPr>
      </w:pPr>
      <w:r>
        <w:rPr>
          <w:rFonts w:ascii="Arial" w:eastAsia="Arial" w:hAnsi="Arial" w:cs="Arial"/>
          <w:sz w:val="22"/>
          <w:szCs w:val="22"/>
        </w:rPr>
        <w:t>We ensure that children are supervised at mealtimes and that children are within sight and hearing of a member of staff at all times.</w:t>
      </w:r>
    </w:p>
    <w:p w:rsidR="00C3010E" w:rsidRDefault="00A96489">
      <w:pPr>
        <w:numPr>
          <w:ilvl w:val="0"/>
          <w:numId w:val="3"/>
        </w:numPr>
        <w:spacing w:before="120" w:after="120" w:line="360" w:lineRule="auto"/>
        <w:ind w:left="357" w:hanging="357"/>
        <w:rPr>
          <w:rFonts w:ascii="Arial" w:eastAsia="Arial" w:hAnsi="Arial" w:cs="Arial"/>
          <w:sz w:val="22"/>
          <w:szCs w:val="22"/>
        </w:rPr>
      </w:pPr>
      <w:r>
        <w:rPr>
          <w:rFonts w:ascii="Arial" w:eastAsia="Arial" w:hAnsi="Arial" w:cs="Arial"/>
          <w:sz w:val="22"/>
          <w:szCs w:val="22"/>
        </w:rPr>
        <w:t>We follow the main advice on dietary guidelines and the legal requiremen</w:t>
      </w:r>
      <w:r>
        <w:rPr>
          <w:rFonts w:ascii="Arial" w:eastAsia="Arial" w:hAnsi="Arial" w:cs="Arial"/>
          <w:sz w:val="22"/>
          <w:szCs w:val="22"/>
        </w:rPr>
        <w:t xml:space="preserve">ts for identifying food allergens when planning menus based on the four food groups: </w:t>
      </w:r>
    </w:p>
    <w:p w:rsidR="00C3010E" w:rsidRDefault="00A96489">
      <w:pPr>
        <w:numPr>
          <w:ilvl w:val="0"/>
          <w:numId w:val="5"/>
        </w:numPr>
        <w:spacing w:before="120" w:after="120" w:line="360" w:lineRule="auto"/>
        <w:ind w:left="714" w:hanging="357"/>
        <w:rPr>
          <w:rFonts w:ascii="Arial" w:eastAsia="Arial" w:hAnsi="Arial" w:cs="Arial"/>
          <w:sz w:val="22"/>
          <w:szCs w:val="22"/>
        </w:rPr>
      </w:pPr>
      <w:r>
        <w:rPr>
          <w:rFonts w:ascii="Arial" w:eastAsia="Arial" w:hAnsi="Arial" w:cs="Arial"/>
          <w:sz w:val="22"/>
          <w:szCs w:val="22"/>
        </w:rPr>
        <w:t xml:space="preserve">meat, fish, and protein alternatives </w:t>
      </w:r>
    </w:p>
    <w:p w:rsidR="00C3010E" w:rsidRDefault="00A96489">
      <w:pPr>
        <w:numPr>
          <w:ilvl w:val="0"/>
          <w:numId w:val="5"/>
        </w:numPr>
        <w:spacing w:before="120" w:after="120" w:line="360" w:lineRule="auto"/>
        <w:ind w:left="714" w:hanging="357"/>
        <w:rPr>
          <w:rFonts w:ascii="Arial" w:eastAsia="Arial" w:hAnsi="Arial" w:cs="Arial"/>
          <w:sz w:val="22"/>
          <w:szCs w:val="22"/>
        </w:rPr>
      </w:pPr>
      <w:r>
        <w:rPr>
          <w:rFonts w:ascii="Arial" w:eastAsia="Arial" w:hAnsi="Arial" w:cs="Arial"/>
          <w:sz w:val="22"/>
          <w:szCs w:val="22"/>
        </w:rPr>
        <w:t xml:space="preserve">milk and dairy products </w:t>
      </w:r>
    </w:p>
    <w:p w:rsidR="00C3010E" w:rsidRDefault="00A96489">
      <w:pPr>
        <w:numPr>
          <w:ilvl w:val="0"/>
          <w:numId w:val="5"/>
        </w:numPr>
        <w:spacing w:before="120" w:after="120" w:line="360" w:lineRule="auto"/>
        <w:ind w:left="714" w:hanging="357"/>
        <w:rPr>
          <w:rFonts w:ascii="Arial" w:eastAsia="Arial" w:hAnsi="Arial" w:cs="Arial"/>
          <w:sz w:val="22"/>
          <w:szCs w:val="22"/>
        </w:rPr>
      </w:pPr>
      <w:r>
        <w:rPr>
          <w:rFonts w:ascii="Arial" w:eastAsia="Arial" w:hAnsi="Arial" w:cs="Arial"/>
          <w:sz w:val="22"/>
          <w:szCs w:val="22"/>
        </w:rPr>
        <w:t>cereals and grains</w:t>
      </w:r>
    </w:p>
    <w:p w:rsidR="00C3010E" w:rsidRDefault="00A96489">
      <w:pPr>
        <w:numPr>
          <w:ilvl w:val="0"/>
          <w:numId w:val="5"/>
        </w:numPr>
        <w:spacing w:before="120" w:after="120" w:line="360" w:lineRule="auto"/>
        <w:ind w:left="714" w:hanging="357"/>
        <w:rPr>
          <w:rFonts w:ascii="Arial" w:eastAsia="Arial" w:hAnsi="Arial" w:cs="Arial"/>
          <w:sz w:val="22"/>
          <w:szCs w:val="22"/>
        </w:rPr>
      </w:pPr>
      <w:r>
        <w:rPr>
          <w:rFonts w:ascii="Arial" w:eastAsia="Arial" w:hAnsi="Arial" w:cs="Arial"/>
          <w:sz w:val="22"/>
          <w:szCs w:val="22"/>
        </w:rPr>
        <w:t>fresh fruit and vegetables.</w:t>
      </w:r>
    </w:p>
    <w:p w:rsidR="00C3010E" w:rsidRDefault="00A96489">
      <w:pPr>
        <w:numPr>
          <w:ilvl w:val="0"/>
          <w:numId w:val="4"/>
        </w:numPr>
        <w:spacing w:before="120" w:after="120" w:line="360" w:lineRule="auto"/>
        <w:ind w:left="357" w:hanging="357"/>
        <w:rPr>
          <w:rFonts w:ascii="Arial" w:eastAsia="Arial" w:hAnsi="Arial" w:cs="Arial"/>
          <w:sz w:val="22"/>
          <w:szCs w:val="22"/>
        </w:rPr>
      </w:pPr>
      <w:r>
        <w:rPr>
          <w:rFonts w:ascii="Arial" w:eastAsia="Arial" w:hAnsi="Arial" w:cs="Arial"/>
          <w:sz w:val="22"/>
          <w:szCs w:val="22"/>
        </w:rPr>
        <w:lastRenderedPageBreak/>
        <w:t>Following dietary guidelines to promote health also means taking account of guidelines to reduce risk of disease caused by unhealthy eating.</w:t>
      </w:r>
    </w:p>
    <w:p w:rsidR="00C3010E" w:rsidRDefault="00A96489">
      <w:pPr>
        <w:numPr>
          <w:ilvl w:val="0"/>
          <w:numId w:val="4"/>
        </w:numPr>
        <w:spacing w:before="120" w:after="120" w:line="360" w:lineRule="auto"/>
        <w:ind w:left="357" w:hanging="357"/>
        <w:rPr>
          <w:rFonts w:ascii="Arial" w:eastAsia="Arial" w:hAnsi="Arial" w:cs="Arial"/>
          <w:sz w:val="22"/>
          <w:szCs w:val="22"/>
        </w:rPr>
      </w:pPr>
      <w:r>
        <w:rPr>
          <w:rFonts w:ascii="Arial" w:eastAsia="Arial" w:hAnsi="Arial" w:cs="Arial"/>
          <w:sz w:val="22"/>
          <w:szCs w:val="22"/>
        </w:rPr>
        <w:t>Parents/carers share information about their children’s particular dietary needs with staff when they enrol their c</w:t>
      </w:r>
      <w:r>
        <w:rPr>
          <w:rFonts w:ascii="Arial" w:eastAsia="Arial" w:hAnsi="Arial" w:cs="Arial"/>
          <w:sz w:val="22"/>
          <w:szCs w:val="22"/>
        </w:rPr>
        <w:t>hildren and on an on-going basis with their key person or a manager. This information is shared with all staff.</w:t>
      </w:r>
    </w:p>
    <w:p w:rsidR="00C3010E" w:rsidRDefault="00A96489">
      <w:pPr>
        <w:numPr>
          <w:ilvl w:val="0"/>
          <w:numId w:val="4"/>
        </w:numPr>
        <w:spacing w:before="120" w:after="120" w:line="360" w:lineRule="auto"/>
        <w:ind w:left="357" w:hanging="357"/>
        <w:rPr>
          <w:rFonts w:ascii="Arial" w:eastAsia="Arial" w:hAnsi="Arial" w:cs="Arial"/>
          <w:sz w:val="22"/>
          <w:szCs w:val="22"/>
        </w:rPr>
      </w:pPr>
      <w:r>
        <w:rPr>
          <w:rFonts w:ascii="Arial" w:eastAsia="Arial" w:hAnsi="Arial" w:cs="Arial"/>
          <w:sz w:val="22"/>
          <w:szCs w:val="22"/>
        </w:rPr>
        <w:t>We take into account every child’s individual development needs and work in partnership with parents/carers to help children to move on to the n</w:t>
      </w:r>
      <w:r>
        <w:rPr>
          <w:rFonts w:ascii="Arial" w:eastAsia="Arial" w:hAnsi="Arial" w:cs="Arial"/>
          <w:sz w:val="22"/>
          <w:szCs w:val="22"/>
        </w:rPr>
        <w:t>e</w:t>
      </w:r>
      <w:r w:rsidR="005D1289">
        <w:rPr>
          <w:rFonts w:ascii="Arial" w:eastAsia="Arial" w:hAnsi="Arial" w:cs="Arial"/>
          <w:sz w:val="22"/>
          <w:szCs w:val="22"/>
        </w:rPr>
        <w:t>xt stage</w:t>
      </w:r>
      <w:r>
        <w:rPr>
          <w:rFonts w:ascii="Arial" w:eastAsia="Arial" w:hAnsi="Arial" w:cs="Arial"/>
          <w:sz w:val="22"/>
          <w:szCs w:val="22"/>
        </w:rPr>
        <w:t>.</w:t>
      </w:r>
    </w:p>
    <w:p w:rsidR="00C3010E" w:rsidRDefault="00A96489">
      <w:pPr>
        <w:numPr>
          <w:ilvl w:val="0"/>
          <w:numId w:val="4"/>
        </w:numPr>
        <w:spacing w:before="120" w:after="120" w:line="360" w:lineRule="auto"/>
        <w:ind w:left="357" w:hanging="357"/>
        <w:rPr>
          <w:rFonts w:ascii="Arial" w:eastAsia="Arial" w:hAnsi="Arial" w:cs="Arial"/>
          <w:sz w:val="22"/>
          <w:szCs w:val="22"/>
        </w:rPr>
      </w:pPr>
      <w:r>
        <w:rPr>
          <w:rFonts w:ascii="Arial" w:eastAsia="Arial" w:hAnsi="Arial" w:cs="Arial"/>
          <w:sz w:val="22"/>
          <w:szCs w:val="22"/>
        </w:rPr>
        <w:t>Foods provided by the setting for children have any allergenic ingredients identified on the menus or have a separate menu provided.</w:t>
      </w:r>
    </w:p>
    <w:p w:rsidR="00C3010E" w:rsidRDefault="00A96489">
      <w:pPr>
        <w:numPr>
          <w:ilvl w:val="0"/>
          <w:numId w:val="4"/>
        </w:numPr>
        <w:spacing w:before="120" w:after="120" w:line="360" w:lineRule="auto"/>
        <w:ind w:left="357" w:hanging="357"/>
        <w:rPr>
          <w:rFonts w:ascii="Arial" w:eastAsia="Arial" w:hAnsi="Arial" w:cs="Arial"/>
          <w:sz w:val="22"/>
          <w:szCs w:val="22"/>
        </w:rPr>
      </w:pPr>
      <w:r>
        <w:rPr>
          <w:rFonts w:ascii="Arial" w:eastAsia="Arial" w:hAnsi="Arial" w:cs="Arial"/>
          <w:sz w:val="22"/>
          <w:szCs w:val="22"/>
        </w:rPr>
        <w:t>Care is taken to ensure that children with food allergie</w:t>
      </w:r>
      <w:r>
        <w:rPr>
          <w:rFonts w:ascii="Arial" w:eastAsia="Arial" w:hAnsi="Arial" w:cs="Arial"/>
          <w:sz w:val="22"/>
          <w:szCs w:val="22"/>
        </w:rPr>
        <w:t>s and intolerances do not have contact with food products that they are allergic to.</w:t>
      </w:r>
    </w:p>
    <w:p w:rsidR="00C3010E" w:rsidRDefault="00A96489">
      <w:pPr>
        <w:numPr>
          <w:ilvl w:val="0"/>
          <w:numId w:val="4"/>
        </w:numPr>
        <w:spacing w:before="120" w:after="120" w:line="360" w:lineRule="auto"/>
        <w:ind w:left="357" w:hanging="357"/>
        <w:rPr>
          <w:rFonts w:ascii="Arial" w:eastAsia="Arial" w:hAnsi="Arial" w:cs="Arial"/>
          <w:sz w:val="22"/>
          <w:szCs w:val="22"/>
        </w:rPr>
      </w:pPr>
      <w:r>
        <w:rPr>
          <w:rFonts w:ascii="Arial" w:eastAsia="Arial" w:hAnsi="Arial" w:cs="Arial"/>
          <w:sz w:val="22"/>
          <w:szCs w:val="22"/>
        </w:rPr>
        <w:t>We notify Ofsted of any food poisoning affecting two or more children in our care as soon as possible and at least within 14 days.</w:t>
      </w:r>
    </w:p>
    <w:p w:rsidR="00C3010E" w:rsidRDefault="00A96489">
      <w:pPr>
        <w:numPr>
          <w:ilvl w:val="0"/>
          <w:numId w:val="4"/>
        </w:numPr>
        <w:spacing w:before="120" w:after="120" w:line="360" w:lineRule="auto"/>
        <w:ind w:left="357" w:hanging="357"/>
        <w:rPr>
          <w:rFonts w:ascii="Arial" w:eastAsia="Arial" w:hAnsi="Arial" w:cs="Arial"/>
          <w:sz w:val="22"/>
          <w:szCs w:val="22"/>
        </w:rPr>
      </w:pPr>
      <w:r>
        <w:rPr>
          <w:rFonts w:ascii="Arial" w:eastAsia="Arial" w:hAnsi="Arial" w:cs="Arial"/>
          <w:sz w:val="22"/>
          <w:szCs w:val="22"/>
        </w:rPr>
        <w:t xml:space="preserve">Risk assessments are conducted for each </w:t>
      </w:r>
      <w:r>
        <w:rPr>
          <w:rFonts w:ascii="Arial" w:eastAsia="Arial" w:hAnsi="Arial" w:cs="Arial"/>
          <w:sz w:val="22"/>
          <w:szCs w:val="22"/>
        </w:rPr>
        <w:t xml:space="preserve">individual child who has a food allergy or specific dietary requirement. </w:t>
      </w:r>
    </w:p>
    <w:p w:rsidR="00C3010E" w:rsidRDefault="00A96489">
      <w:pPr>
        <w:numPr>
          <w:ilvl w:val="0"/>
          <w:numId w:val="4"/>
        </w:numPr>
        <w:spacing w:before="120" w:after="120" w:line="360" w:lineRule="auto"/>
        <w:ind w:left="357" w:hanging="357"/>
        <w:rPr>
          <w:rFonts w:ascii="Arial" w:eastAsia="Arial" w:hAnsi="Arial" w:cs="Arial"/>
          <w:sz w:val="22"/>
          <w:szCs w:val="22"/>
        </w:rPr>
      </w:pPr>
      <w:r>
        <w:rPr>
          <w:rFonts w:ascii="Arial" w:eastAsia="Arial" w:hAnsi="Arial" w:cs="Arial"/>
          <w:sz w:val="22"/>
          <w:szCs w:val="22"/>
        </w:rPr>
        <w:t>If a child chokes at mealtime and intervention is given, we record details of the incident and ensure that parents/carers are informed.</w:t>
      </w:r>
    </w:p>
    <w:p w:rsidR="00C3010E" w:rsidRDefault="00A96489">
      <w:pPr>
        <w:tabs>
          <w:tab w:val="left" w:pos="4740"/>
        </w:tabs>
        <w:spacing w:before="120" w:after="120" w:line="360" w:lineRule="auto"/>
        <w:rPr>
          <w:rFonts w:ascii="Arial" w:eastAsia="Arial" w:hAnsi="Arial" w:cs="Arial"/>
          <w:b/>
        </w:rPr>
      </w:pPr>
      <w:r>
        <w:rPr>
          <w:rFonts w:ascii="Arial" w:eastAsia="Arial" w:hAnsi="Arial" w:cs="Arial"/>
          <w:b/>
        </w:rPr>
        <w:t>Legal references</w:t>
      </w:r>
      <w:r>
        <w:rPr>
          <w:rFonts w:ascii="Arial" w:eastAsia="Arial" w:hAnsi="Arial" w:cs="Arial"/>
          <w:b/>
        </w:rPr>
        <w:tab/>
      </w:r>
    </w:p>
    <w:p w:rsidR="00C3010E" w:rsidRDefault="00A96489">
      <w:pPr>
        <w:spacing w:before="120" w:after="120" w:line="360" w:lineRule="auto"/>
        <w:rPr>
          <w:rFonts w:ascii="Arial" w:eastAsia="Arial" w:hAnsi="Arial" w:cs="Arial"/>
          <w:sz w:val="22"/>
          <w:szCs w:val="22"/>
        </w:rPr>
      </w:pPr>
      <w:r>
        <w:rPr>
          <w:rFonts w:ascii="Arial" w:eastAsia="Arial" w:hAnsi="Arial" w:cs="Arial"/>
          <w:sz w:val="22"/>
          <w:szCs w:val="22"/>
        </w:rPr>
        <w:t xml:space="preserve">Regulation (EC) 852/2004 of </w:t>
      </w:r>
      <w:r>
        <w:rPr>
          <w:rFonts w:ascii="Arial" w:eastAsia="Arial" w:hAnsi="Arial" w:cs="Arial"/>
          <w:sz w:val="22"/>
          <w:szCs w:val="22"/>
        </w:rPr>
        <w:t>the European Parliament and of the Council on the hygiene of foodstuffs.</w:t>
      </w:r>
    </w:p>
    <w:p w:rsidR="00C3010E" w:rsidRDefault="00A96489">
      <w:pPr>
        <w:spacing w:before="120" w:after="120" w:line="360" w:lineRule="auto"/>
        <w:rPr>
          <w:rFonts w:ascii="Arial" w:eastAsia="Arial" w:hAnsi="Arial" w:cs="Arial"/>
          <w:sz w:val="22"/>
          <w:szCs w:val="22"/>
        </w:rPr>
      </w:pPr>
      <w:r>
        <w:rPr>
          <w:rFonts w:ascii="Arial" w:eastAsia="Arial" w:hAnsi="Arial" w:cs="Arial"/>
          <w:sz w:val="22"/>
          <w:szCs w:val="22"/>
        </w:rPr>
        <w:t>Food Information Regulations 2014</w:t>
      </w:r>
    </w:p>
    <w:p w:rsidR="00C3010E" w:rsidRDefault="00A96489">
      <w:pPr>
        <w:spacing w:before="120" w:after="120" w:line="360" w:lineRule="auto"/>
        <w:rPr>
          <w:rFonts w:ascii="Arial" w:eastAsia="Arial" w:hAnsi="Arial" w:cs="Arial"/>
          <w:sz w:val="22"/>
          <w:szCs w:val="22"/>
        </w:rPr>
      </w:pPr>
      <w:r>
        <w:rPr>
          <w:rFonts w:ascii="Arial" w:eastAsia="Arial" w:hAnsi="Arial" w:cs="Arial"/>
          <w:sz w:val="22"/>
          <w:szCs w:val="22"/>
        </w:rPr>
        <w:t>The Childcare Act 2006</w:t>
      </w:r>
    </w:p>
    <w:p w:rsidR="00C3010E" w:rsidRDefault="00A96489">
      <w:pPr>
        <w:spacing w:before="120" w:after="120" w:line="360" w:lineRule="auto"/>
        <w:rPr>
          <w:rFonts w:ascii="Arial" w:eastAsia="Arial" w:hAnsi="Arial" w:cs="Arial"/>
          <w:b/>
          <w:sz w:val="22"/>
          <w:szCs w:val="22"/>
        </w:rPr>
      </w:pPr>
      <w:r>
        <w:rPr>
          <w:rFonts w:ascii="Arial" w:eastAsia="Arial" w:hAnsi="Arial" w:cs="Arial"/>
          <w:b/>
          <w:sz w:val="22"/>
          <w:szCs w:val="22"/>
        </w:rPr>
        <w:t>Further guidance</w:t>
      </w:r>
    </w:p>
    <w:p w:rsidR="00C3010E" w:rsidRDefault="00A96489">
      <w:pPr>
        <w:spacing w:before="120" w:after="120" w:line="360" w:lineRule="auto"/>
        <w:rPr>
          <w:rFonts w:ascii="Arial" w:eastAsia="Arial" w:hAnsi="Arial" w:cs="Arial"/>
          <w:color w:val="95B3D7"/>
          <w:sz w:val="22"/>
          <w:szCs w:val="22"/>
        </w:rPr>
      </w:pPr>
      <w:hyperlink r:id="rId12">
        <w:r>
          <w:rPr>
            <w:rFonts w:ascii="Arial" w:eastAsia="Arial" w:hAnsi="Arial" w:cs="Arial"/>
            <w:color w:val="0000FF"/>
            <w:sz w:val="22"/>
            <w:szCs w:val="22"/>
            <w:u w:val="single"/>
          </w:rPr>
          <w:t>Safer Food Better Business for Caterers</w:t>
        </w:r>
      </w:hyperlink>
      <w:r>
        <w:rPr>
          <w:rFonts w:ascii="Arial" w:eastAsia="Arial" w:hAnsi="Arial" w:cs="Arial"/>
          <w:sz w:val="22"/>
          <w:szCs w:val="22"/>
        </w:rPr>
        <w:t xml:space="preserve"> (Food Standards Agency) </w:t>
      </w:r>
      <w:r>
        <w:rPr>
          <w:rFonts w:ascii="Arial" w:eastAsia="Arial" w:hAnsi="Arial" w:cs="Arial"/>
          <w:sz w:val="22"/>
          <w:szCs w:val="22"/>
        </w:rPr>
        <w:tab/>
      </w:r>
      <w:hyperlink r:id="rId13">
        <w:r>
          <w:rPr>
            <w:rFonts w:ascii="Arial" w:eastAsia="Arial" w:hAnsi="Arial" w:cs="Arial"/>
            <w:color w:val="0000FF"/>
            <w:sz w:val="22"/>
            <w:szCs w:val="22"/>
            <w:u w:val="single"/>
          </w:rPr>
          <w:t>Food allergy - NHS</w:t>
        </w:r>
      </w:hyperlink>
      <w:r>
        <w:tab/>
      </w:r>
      <w:hyperlink r:id="rId14">
        <w:r>
          <w:rPr>
            <w:rFonts w:ascii="Arial" w:eastAsia="Arial" w:hAnsi="Arial" w:cs="Arial"/>
            <w:color w:val="0000FF"/>
            <w:sz w:val="22"/>
            <w:szCs w:val="22"/>
            <w:u w:val="single"/>
          </w:rPr>
          <w:t>Paediatric Alle</w:t>
        </w:r>
        <w:r>
          <w:rPr>
            <w:rFonts w:ascii="Arial" w:eastAsia="Arial" w:hAnsi="Arial" w:cs="Arial"/>
            <w:color w:val="0000FF"/>
            <w:sz w:val="22"/>
            <w:szCs w:val="22"/>
            <w:u w:val="single"/>
          </w:rPr>
          <w:t>rgy Action Plans - BSACI</w:t>
        </w:r>
      </w:hyperlink>
      <w:r>
        <w:tab/>
      </w:r>
      <w:r>
        <w:tab/>
      </w:r>
      <w:r>
        <w:tab/>
      </w:r>
      <w:r>
        <w:tab/>
      </w:r>
      <w:r>
        <w:tab/>
      </w:r>
      <w:hyperlink r:id="rId15">
        <w:r>
          <w:rPr>
            <w:rFonts w:ascii="Arial" w:eastAsia="Arial" w:hAnsi="Arial" w:cs="Arial"/>
            <w:color w:val="0000FF"/>
            <w:sz w:val="22"/>
            <w:szCs w:val="22"/>
            <w:u w:val="single"/>
          </w:rPr>
          <w:t>Anaphylaxis - NHS</w:t>
        </w:r>
      </w:hyperlink>
      <w:r>
        <w:tab/>
      </w:r>
      <w:hyperlink r:id="rId16">
        <w:r>
          <w:rPr>
            <w:rFonts w:ascii="Arial" w:eastAsia="Arial" w:hAnsi="Arial" w:cs="Arial"/>
            <w:color w:val="0000FF"/>
            <w:sz w:val="22"/>
            <w:szCs w:val="22"/>
            <w:u w:val="single"/>
          </w:rPr>
          <w:t>Help for early years providers : Food s</w:t>
        </w:r>
        <w:r>
          <w:rPr>
            <w:rFonts w:ascii="Arial" w:eastAsia="Arial" w:hAnsi="Arial" w:cs="Arial"/>
            <w:color w:val="0000FF"/>
            <w:sz w:val="22"/>
            <w:szCs w:val="22"/>
            <w:u w:val="single"/>
          </w:rPr>
          <w:t>afety</w:t>
        </w:r>
      </w:hyperlink>
      <w:r>
        <w:tab/>
      </w:r>
      <w:r>
        <w:tab/>
      </w:r>
      <w:r>
        <w:tab/>
      </w:r>
      <w:r>
        <w:tab/>
      </w:r>
      <w:r>
        <w:tab/>
      </w:r>
      <w:r>
        <w:tab/>
      </w:r>
      <w:r>
        <w:tab/>
      </w:r>
      <w:r>
        <w:tab/>
      </w:r>
      <w:hyperlink r:id="rId17">
        <w:r>
          <w:rPr>
            <w:rFonts w:ascii="Arial" w:eastAsia="Arial" w:hAnsi="Arial" w:cs="Arial"/>
            <w:color w:val="95B3D7"/>
            <w:sz w:val="22"/>
            <w:szCs w:val="22"/>
            <w:u w:val="single"/>
          </w:rPr>
          <w:t>Early Years Foundation Stage Nutrition Guidance (2025)</w:t>
        </w:r>
      </w:hyperlink>
    </w:p>
    <w:p w:rsidR="00C3010E" w:rsidRDefault="00C3010E">
      <w:pPr>
        <w:pBdr>
          <w:top w:val="nil"/>
          <w:left w:val="nil"/>
          <w:bottom w:val="nil"/>
          <w:right w:val="nil"/>
          <w:between w:val="nil"/>
        </w:pBdr>
        <w:rPr>
          <w:rFonts w:ascii="Comic Sans MS" w:eastAsia="Comic Sans MS" w:hAnsi="Comic Sans MS" w:cs="Comic Sans MS"/>
          <w:color w:val="000000"/>
          <w:sz w:val="22"/>
          <w:szCs w:val="22"/>
          <w:u w:val="single"/>
        </w:rPr>
      </w:pPr>
    </w:p>
    <w:p w:rsidR="00C3010E" w:rsidRDefault="00C3010E">
      <w:pPr>
        <w:pBdr>
          <w:top w:val="nil"/>
          <w:left w:val="nil"/>
          <w:bottom w:val="nil"/>
          <w:right w:val="nil"/>
          <w:between w:val="nil"/>
        </w:pBdr>
        <w:rPr>
          <w:rFonts w:ascii="Comic Sans MS" w:eastAsia="Comic Sans MS" w:hAnsi="Comic Sans MS" w:cs="Comic Sans MS"/>
          <w:color w:val="000000"/>
          <w:sz w:val="16"/>
          <w:szCs w:val="16"/>
        </w:rPr>
      </w:pPr>
    </w:p>
    <w:p w:rsidR="00C3010E" w:rsidRDefault="00A96489">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This policy was reviewed in August 2025 and adopted at a meeting of the Playgroup Management Committee to be held on 20th October 2025.</w:t>
      </w:r>
    </w:p>
    <w:p w:rsidR="00C3010E" w:rsidRDefault="00C3010E">
      <w:pPr>
        <w:pBdr>
          <w:top w:val="nil"/>
          <w:left w:val="nil"/>
          <w:bottom w:val="nil"/>
          <w:right w:val="nil"/>
          <w:between w:val="nil"/>
        </w:pBdr>
        <w:rPr>
          <w:rFonts w:ascii="Arial" w:eastAsia="Arial" w:hAnsi="Arial" w:cs="Arial"/>
          <w:color w:val="000000"/>
          <w:sz w:val="16"/>
          <w:szCs w:val="16"/>
        </w:rPr>
      </w:pPr>
    </w:p>
    <w:p w:rsidR="00C3010E" w:rsidRDefault="00A96489">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lastRenderedPageBreak/>
        <w:t>……………………………………………………………… Signed on Behalf of the Playgroup Management Committee</w:t>
      </w:r>
    </w:p>
    <w:p w:rsidR="00C3010E" w:rsidRDefault="00C3010E">
      <w:pPr>
        <w:pBdr>
          <w:top w:val="nil"/>
          <w:left w:val="nil"/>
          <w:bottom w:val="nil"/>
          <w:right w:val="nil"/>
          <w:between w:val="nil"/>
        </w:pBdr>
        <w:rPr>
          <w:rFonts w:ascii="Arial" w:eastAsia="Arial" w:hAnsi="Arial" w:cs="Arial"/>
          <w:color w:val="000000"/>
          <w:sz w:val="16"/>
          <w:szCs w:val="16"/>
        </w:rPr>
      </w:pPr>
    </w:p>
    <w:p w:rsidR="00C3010E" w:rsidRDefault="00A96489">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Position Held: Chair of Management Committee </w:t>
      </w:r>
    </w:p>
    <w:p w:rsidR="00C3010E" w:rsidRDefault="00C3010E">
      <w:pPr>
        <w:pBdr>
          <w:top w:val="nil"/>
          <w:left w:val="nil"/>
          <w:bottom w:val="nil"/>
          <w:right w:val="nil"/>
          <w:between w:val="nil"/>
        </w:pBdr>
        <w:rPr>
          <w:rFonts w:ascii="Arial" w:eastAsia="Arial" w:hAnsi="Arial" w:cs="Arial"/>
          <w:color w:val="000000"/>
          <w:sz w:val="16"/>
          <w:szCs w:val="16"/>
        </w:rPr>
      </w:pPr>
    </w:p>
    <w:p w:rsidR="00C3010E" w:rsidRDefault="00A96489">
      <w:pPr>
        <w:pBdr>
          <w:top w:val="nil"/>
          <w:left w:val="nil"/>
          <w:bottom w:val="nil"/>
          <w:right w:val="nil"/>
          <w:between w:val="nil"/>
        </w:pBdr>
        <w:jc w:val="center"/>
        <w:rPr>
          <w:rFonts w:ascii="Comic Sans MS" w:eastAsia="Comic Sans MS" w:hAnsi="Comic Sans MS" w:cs="Comic Sans MS"/>
          <w:b/>
          <w:color w:val="000000"/>
          <w:sz w:val="22"/>
          <w:szCs w:val="22"/>
        </w:rPr>
      </w:pPr>
      <w:r>
        <w:rPr>
          <w:rFonts w:ascii="Arial" w:eastAsia="Arial" w:hAnsi="Arial" w:cs="Arial"/>
          <w:color w:val="000000"/>
          <w:sz w:val="22"/>
          <w:szCs w:val="22"/>
        </w:rPr>
        <w:t>To be Reviewed: November 2026</w:t>
      </w:r>
      <w:bookmarkStart w:id="0" w:name="_GoBack"/>
      <w:bookmarkEnd w:id="0"/>
    </w:p>
    <w:sectPr w:rsidR="00C3010E">
      <w:footerReference w:type="default" r:id="rId18"/>
      <w:pgSz w:w="11906" w:h="16838"/>
      <w:pgMar w:top="1134"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489" w:rsidRDefault="00A96489">
      <w:r>
        <w:separator/>
      </w:r>
    </w:p>
  </w:endnote>
  <w:endnote w:type="continuationSeparator" w:id="0">
    <w:p w:rsidR="00A96489" w:rsidRDefault="00A96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10E" w:rsidRDefault="00A96489">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sidR="005D1289">
      <w:rPr>
        <w:color w:val="000000"/>
      </w:rPr>
      <w:fldChar w:fldCharType="separate"/>
    </w:r>
    <w:r w:rsidR="005D1289">
      <w:rPr>
        <w:noProof/>
        <w:color w:val="000000"/>
      </w:rPr>
      <w:t>1</w:t>
    </w:r>
    <w:r>
      <w:rPr>
        <w:color w:val="000000"/>
      </w:rPr>
      <w:fldChar w:fldCharType="end"/>
    </w:r>
  </w:p>
  <w:p w:rsidR="00C3010E" w:rsidRDefault="00C3010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489" w:rsidRDefault="00A96489">
      <w:r>
        <w:separator/>
      </w:r>
    </w:p>
  </w:footnote>
  <w:footnote w:type="continuationSeparator" w:id="0">
    <w:p w:rsidR="00A96489" w:rsidRDefault="00A964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D0081"/>
    <w:multiLevelType w:val="multilevel"/>
    <w:tmpl w:val="FABA5E1E"/>
    <w:lvl w:ilvl="0">
      <w:start w:val="1"/>
      <w:numFmt w:val="bullet"/>
      <w:lvlText w:val="-"/>
      <w:lvlJc w:val="left"/>
      <w:pPr>
        <w:ind w:left="1080" w:hanging="360"/>
      </w:pPr>
      <w:rPr>
        <w:smallCaps w:val="0"/>
        <w:strike w:val="0"/>
        <w:sz w:val="22"/>
        <w:szCs w:val="22"/>
        <w:vertAlign w:val="baseli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nsid w:val="2D246C82"/>
    <w:multiLevelType w:val="multilevel"/>
    <w:tmpl w:val="0AA6D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415F1915"/>
    <w:multiLevelType w:val="multilevel"/>
    <w:tmpl w:val="FBF8FFE6"/>
    <w:lvl w:ilvl="0">
      <w:start w:val="1"/>
      <w:numFmt w:val="bullet"/>
      <w:lvlText w:val="▪"/>
      <w:lvlJc w:val="left"/>
      <w:pPr>
        <w:ind w:left="360" w:hanging="360"/>
      </w:pPr>
      <w:rPr>
        <w:rFonts w:ascii="Noto Sans Symbols" w:eastAsia="Noto Sans Symbols" w:hAnsi="Noto Sans Symbols" w:cs="Noto Sans Symbols"/>
        <w:color w:val="7030A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708C68A4"/>
    <w:multiLevelType w:val="multilevel"/>
    <w:tmpl w:val="419432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nsid w:val="72DA7003"/>
    <w:multiLevelType w:val="multilevel"/>
    <w:tmpl w:val="096E3D4E"/>
    <w:lvl w:ilvl="0">
      <w:start w:val="1"/>
      <w:numFmt w:val="bullet"/>
      <w:lvlText w:val="●"/>
      <w:lvlJc w:val="left"/>
      <w:pPr>
        <w:ind w:left="-708" w:hanging="360"/>
      </w:pPr>
      <w:rPr>
        <w:rFonts w:ascii="Noto Sans Symbols" w:eastAsia="Noto Sans Symbols" w:hAnsi="Noto Sans Symbols" w:cs="Noto Sans Symbols"/>
      </w:rPr>
    </w:lvl>
    <w:lvl w:ilvl="1">
      <w:start w:val="1"/>
      <w:numFmt w:val="bullet"/>
      <w:lvlText w:val="o"/>
      <w:lvlJc w:val="left"/>
      <w:pPr>
        <w:ind w:left="12" w:hanging="360"/>
      </w:pPr>
      <w:rPr>
        <w:rFonts w:ascii="Courier New" w:eastAsia="Courier New" w:hAnsi="Courier New" w:cs="Courier New"/>
      </w:rPr>
    </w:lvl>
    <w:lvl w:ilvl="2">
      <w:start w:val="1"/>
      <w:numFmt w:val="bullet"/>
      <w:lvlText w:val="▪"/>
      <w:lvlJc w:val="left"/>
      <w:pPr>
        <w:ind w:left="732" w:hanging="360"/>
      </w:pPr>
      <w:rPr>
        <w:rFonts w:ascii="Noto Sans Symbols" w:eastAsia="Noto Sans Symbols" w:hAnsi="Noto Sans Symbols" w:cs="Noto Sans Symbols"/>
      </w:rPr>
    </w:lvl>
    <w:lvl w:ilvl="3">
      <w:start w:val="1"/>
      <w:numFmt w:val="bullet"/>
      <w:lvlText w:val="●"/>
      <w:lvlJc w:val="left"/>
      <w:pPr>
        <w:ind w:left="1452" w:hanging="360"/>
      </w:pPr>
      <w:rPr>
        <w:rFonts w:ascii="Noto Sans Symbols" w:eastAsia="Noto Sans Symbols" w:hAnsi="Noto Sans Symbols" w:cs="Noto Sans Symbols"/>
      </w:rPr>
    </w:lvl>
    <w:lvl w:ilvl="4">
      <w:start w:val="1"/>
      <w:numFmt w:val="bullet"/>
      <w:lvlText w:val="o"/>
      <w:lvlJc w:val="left"/>
      <w:pPr>
        <w:ind w:left="2172" w:hanging="360"/>
      </w:pPr>
      <w:rPr>
        <w:rFonts w:ascii="Courier New" w:eastAsia="Courier New" w:hAnsi="Courier New" w:cs="Courier New"/>
      </w:rPr>
    </w:lvl>
    <w:lvl w:ilvl="5">
      <w:start w:val="1"/>
      <w:numFmt w:val="bullet"/>
      <w:lvlText w:val="▪"/>
      <w:lvlJc w:val="left"/>
      <w:pPr>
        <w:ind w:left="2892" w:hanging="360"/>
      </w:pPr>
      <w:rPr>
        <w:rFonts w:ascii="Noto Sans Symbols" w:eastAsia="Noto Sans Symbols" w:hAnsi="Noto Sans Symbols" w:cs="Noto Sans Symbols"/>
      </w:rPr>
    </w:lvl>
    <w:lvl w:ilvl="6">
      <w:start w:val="1"/>
      <w:numFmt w:val="bullet"/>
      <w:lvlText w:val="●"/>
      <w:lvlJc w:val="left"/>
      <w:pPr>
        <w:ind w:left="3612" w:hanging="360"/>
      </w:pPr>
      <w:rPr>
        <w:rFonts w:ascii="Noto Sans Symbols" w:eastAsia="Noto Sans Symbols" w:hAnsi="Noto Sans Symbols" w:cs="Noto Sans Symbols"/>
      </w:rPr>
    </w:lvl>
    <w:lvl w:ilvl="7">
      <w:start w:val="1"/>
      <w:numFmt w:val="bullet"/>
      <w:lvlText w:val="o"/>
      <w:lvlJc w:val="left"/>
      <w:pPr>
        <w:ind w:left="4332" w:hanging="360"/>
      </w:pPr>
      <w:rPr>
        <w:rFonts w:ascii="Courier New" w:eastAsia="Courier New" w:hAnsi="Courier New" w:cs="Courier New"/>
      </w:rPr>
    </w:lvl>
    <w:lvl w:ilvl="8">
      <w:start w:val="1"/>
      <w:numFmt w:val="bullet"/>
      <w:lvlText w:val="▪"/>
      <w:lvlJc w:val="left"/>
      <w:pPr>
        <w:ind w:left="5052" w:hanging="360"/>
      </w:pPr>
      <w:rPr>
        <w:rFonts w:ascii="Noto Sans Symbols" w:eastAsia="Noto Sans Symbols" w:hAnsi="Noto Sans Symbols" w:cs="Noto Sans Symbols"/>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3010E"/>
    <w:rsid w:val="005D1289"/>
    <w:rsid w:val="00A96489"/>
    <w:rsid w:val="00C30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outlineLvl w:val="0"/>
    </w:pPr>
    <w:rPr>
      <w:b/>
      <w:i/>
    </w:rPr>
  </w:style>
  <w:style w:type="paragraph" w:styleId="Heading2">
    <w:name w:val="heading 2"/>
    <w:basedOn w:val="Normal"/>
    <w:next w:val="Normal"/>
    <w:link w:val="Heading2Char"/>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link w:val="Heading6Char"/>
    <w:pPr>
      <w:keepNext/>
      <w:keepLines/>
      <w:spacing w:before="4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jc w:val="center"/>
    </w:pPr>
    <w:rPr>
      <w:b/>
      <w:sz w:val="28"/>
      <w:szCs w:val="28"/>
    </w:rPr>
  </w:style>
  <w:style w:type="paragraph" w:styleId="NoSpacing">
    <w:name w:val="No Spacing"/>
    <w:uiPriority w:val="1"/>
    <w:qFormat/>
    <w:rsid w:val="0021678A"/>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paragraph" w:customStyle="1" w:styleId="Default">
    <w:name w:val="Default"/>
    <w:rsid w:val="003D3EEC"/>
    <w:pPr>
      <w:autoSpaceDE w:val="0"/>
      <w:autoSpaceDN w:val="0"/>
      <w:adjustRightInd w:val="0"/>
    </w:pPr>
    <w:rPr>
      <w:rFonts w:ascii="Verdana" w:eastAsia="SimSun" w:hAnsi="Verdana" w:cs="Verdana"/>
      <w:color w:val="000000"/>
      <w:lang w:eastAsia="zh-CN"/>
    </w:rPr>
  </w:style>
  <w:style w:type="paragraph" w:styleId="Header">
    <w:name w:val="header"/>
    <w:basedOn w:val="Normal"/>
    <w:link w:val="HeaderChar"/>
    <w:uiPriority w:val="99"/>
    <w:unhideWhenUsed/>
    <w:rsid w:val="00861217"/>
    <w:pPr>
      <w:tabs>
        <w:tab w:val="center" w:pos="4513"/>
        <w:tab w:val="right" w:pos="9026"/>
      </w:tabs>
    </w:pPr>
  </w:style>
  <w:style w:type="character" w:customStyle="1" w:styleId="HeaderChar">
    <w:name w:val="Header Char"/>
    <w:basedOn w:val="DefaultParagraphFont"/>
    <w:link w:val="Header"/>
    <w:uiPriority w:val="99"/>
    <w:rsid w:val="008612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1217"/>
    <w:pPr>
      <w:tabs>
        <w:tab w:val="center" w:pos="4513"/>
        <w:tab w:val="right" w:pos="9026"/>
      </w:tabs>
    </w:pPr>
  </w:style>
  <w:style w:type="character" w:customStyle="1" w:styleId="FooterChar">
    <w:name w:val="Footer Char"/>
    <w:basedOn w:val="DefaultParagraphFont"/>
    <w:link w:val="Footer"/>
    <w:uiPriority w:val="99"/>
    <w:rsid w:val="00861217"/>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F555F4"/>
    <w:rPr>
      <w:rFonts w:asciiTheme="majorHAnsi" w:eastAsiaTheme="majorEastAsia" w:hAnsiTheme="majorHAnsi" w:cstheme="majorBidi"/>
      <w:color w:val="243F60" w:themeColor="accent1" w:themeShade="7F"/>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outlineLvl w:val="0"/>
    </w:pPr>
    <w:rPr>
      <w:b/>
      <w:i/>
    </w:rPr>
  </w:style>
  <w:style w:type="paragraph" w:styleId="Heading2">
    <w:name w:val="heading 2"/>
    <w:basedOn w:val="Normal"/>
    <w:next w:val="Normal"/>
    <w:link w:val="Heading2Char"/>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link w:val="Heading6Char"/>
    <w:pPr>
      <w:keepNext/>
      <w:keepLines/>
      <w:spacing w:before="4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jc w:val="center"/>
    </w:pPr>
    <w:rPr>
      <w:b/>
      <w:sz w:val="28"/>
      <w:szCs w:val="28"/>
    </w:rPr>
  </w:style>
  <w:style w:type="paragraph" w:styleId="NoSpacing">
    <w:name w:val="No Spacing"/>
    <w:uiPriority w:val="1"/>
    <w:qFormat/>
    <w:rsid w:val="0021678A"/>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paragraph" w:customStyle="1" w:styleId="Default">
    <w:name w:val="Default"/>
    <w:rsid w:val="003D3EEC"/>
    <w:pPr>
      <w:autoSpaceDE w:val="0"/>
      <w:autoSpaceDN w:val="0"/>
      <w:adjustRightInd w:val="0"/>
    </w:pPr>
    <w:rPr>
      <w:rFonts w:ascii="Verdana" w:eastAsia="SimSun" w:hAnsi="Verdana" w:cs="Verdana"/>
      <w:color w:val="000000"/>
      <w:lang w:eastAsia="zh-CN"/>
    </w:rPr>
  </w:style>
  <w:style w:type="paragraph" w:styleId="Header">
    <w:name w:val="header"/>
    <w:basedOn w:val="Normal"/>
    <w:link w:val="HeaderChar"/>
    <w:uiPriority w:val="99"/>
    <w:unhideWhenUsed/>
    <w:rsid w:val="00861217"/>
    <w:pPr>
      <w:tabs>
        <w:tab w:val="center" w:pos="4513"/>
        <w:tab w:val="right" w:pos="9026"/>
      </w:tabs>
    </w:pPr>
  </w:style>
  <w:style w:type="character" w:customStyle="1" w:styleId="HeaderChar">
    <w:name w:val="Header Char"/>
    <w:basedOn w:val="DefaultParagraphFont"/>
    <w:link w:val="Header"/>
    <w:uiPriority w:val="99"/>
    <w:rsid w:val="0086121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1217"/>
    <w:pPr>
      <w:tabs>
        <w:tab w:val="center" w:pos="4513"/>
        <w:tab w:val="right" w:pos="9026"/>
      </w:tabs>
    </w:pPr>
  </w:style>
  <w:style w:type="character" w:customStyle="1" w:styleId="FooterChar">
    <w:name w:val="Footer Char"/>
    <w:basedOn w:val="DefaultParagraphFont"/>
    <w:link w:val="Footer"/>
    <w:uiPriority w:val="99"/>
    <w:rsid w:val="00861217"/>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F555F4"/>
    <w:rPr>
      <w:rFonts w:asciiTheme="majorHAnsi" w:eastAsiaTheme="majorEastAsia" w:hAnsiTheme="majorHAnsi" w:cstheme="majorBidi"/>
      <w:color w:val="243F60" w:themeColor="accent1" w:themeShade="7F"/>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hs.uk/conditions/food-allergy/"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ood.gov.uk/business-guidance/safer-food-better-business-for-caterers"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https://help-for-early-years-providers.education.gov.uk/health-and-wellbeing/food-safet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www.nhs.uk/conditions/anaphylaxis/" TargetMode="External"/><Relationship Id="rId10" Type="http://schemas.openxmlformats.org/officeDocument/2006/relationships/image" Target="media/image1.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s://www.bsaci.org/resources/resources/paediatric-allergy-action-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JUOMkJTRxrz6lCVqjESZZvoc9g==">CgMxLjA4AHIhMXBxNGdYbnNkSmJucWJudHlpTC1sS3BTbERQOHI2bFBf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566</Words>
  <Characters>3227</Characters>
  <Application>Microsoft Office Word</Application>
  <DocSecurity>0</DocSecurity>
  <Lines>26</Lines>
  <Paragraphs>7</Paragraphs>
  <ScaleCrop>false</ScaleCrop>
  <Company/>
  <LinksUpToDate>false</LinksUpToDate>
  <CharactersWithSpaces>3786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Judith Robinson</cp:lastModifiedBy>
  <cp:revision>3</cp:revision>
  <dcterms:created xsi:type="dcterms:W3CDTF">2025-04-21T11:12:00Z</dcterms:created>
  <dcterms:modified xsi:type="dcterms:W3CDTF">2026-04-20T17:32:00Z</dcterms:modified>
</cp:coreProperties>
</file>