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image/x-emf" Extension="em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sz w:val="22"/>
          <w:szCs w:val="22"/>
        </w:rPr>
      </w:pPr>
      <w:bookmarkStart w:colFirst="0" w:colLast="0" w:name="_heading=h.u1wihbf4p26i" w:id="0"/>
      <w:bookmarkEnd w:id="0"/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1286828</wp:posOffset>
                </wp:positionH>
                <wp:positionV relativeFrom="paragraph">
                  <wp:posOffset>-389571</wp:posOffset>
                </wp:positionV>
                <wp:extent cx="5175250" cy="125920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763138" y="3155160"/>
                          <a:ext cx="5165725" cy="1249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Embsay with Eastby Pre-School Playgroup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and Out of School Club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Health Procedures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  <w:t xml:space="preserve">Allergies and food intolernace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omic Sans MS" w:cs="Comic Sans MS" w:eastAsia="Comic Sans MS" w:hAnsi="Comic Sans MS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1286828</wp:posOffset>
                </wp:positionH>
                <wp:positionV relativeFrom="paragraph">
                  <wp:posOffset>-389571</wp:posOffset>
                </wp:positionV>
                <wp:extent cx="5175250" cy="1259205"/>
                <wp:effectExtent b="0" l="0" r="0" t="0"/>
                <wp:wrapNone/>
                <wp:docPr id="5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5250" cy="12592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-470534</wp:posOffset>
                </wp:positionH>
                <wp:positionV relativeFrom="paragraph">
                  <wp:posOffset>-387349</wp:posOffset>
                </wp:positionV>
                <wp:extent cx="1757680" cy="1068705"/>
                <wp:wrapNone/>
                <wp:docPr id="4" name=""/>
                <a:graphic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7680" cy="1068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/>
                          <a:ext uri="{91240B29-F687-4F45-9708-019B960494DF}"/>
                        </a:extLst>
                      </wps:spPr>
                      <wps:txbx>
                        <w:txbxContent>
                          <w:p w:rsidR="0021678A" w:rsidDel="00000000" w:rsidP="00000000" w:rsidRDefault="0021678A" w:rsidRPr="00000000" w14:paraId="659B6E48" w14:textId="77777777">
                            <w:r w:rsidDel="00000000" w:rsidR="00000000" w:rsidRPr="00000000">
                              <w:rPr>
                                <w:noProof w:val="1"/>
                                <w:lang w:eastAsia="en-GB"/>
                              </w:rPr>
                              <w:drawing>
                                <wp:inline distB="0" distT="0" distL="0" distR="0">
                                  <wp:extent cx="1557829" cy="926276"/>
                                  <wp:effectExtent b="0" l="19050" r="4271" t="0"/>
                                  <wp:docPr id="3" name="Picture 1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5275" cy="93070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-470534</wp:posOffset>
                </wp:positionH>
                <wp:positionV relativeFrom="paragraph">
                  <wp:posOffset>-387349</wp:posOffset>
                </wp:positionV>
                <wp:extent cx="1757680" cy="1068705"/>
                <wp:effectExtent b="0" l="0" r="0" t="0"/>
                <wp:wrapNone/>
                <wp:docPr id="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7680" cy="10687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sz w:val="22"/>
          <w:szCs w:val="22"/>
        </w:rPr>
      </w:pPr>
      <w:bookmarkStart w:colFirst="0" w:colLast="0" w:name="_heading=h.lypomqhdswo2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3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When a child starts at the setting, parents/carers are asked if their child has any known allergies or food intolerance. This information is recorded on the registration form.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120" w:before="120" w:line="360" w:lineRule="auto"/>
        <w:ind w:left="357" w:hanging="357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If a child has an allergy or food intolerance, a generic risk assessment form is completed with the following information: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120" w:before="120" w:line="360" w:lineRule="auto"/>
        <w:ind w:left="717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risk identified – the allergen (i.e. the substance, material or living creature the child is allergic to such as nuts, eggs, bee stings, cats etc.)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120" w:before="120" w:line="360" w:lineRule="auto"/>
        <w:ind w:left="717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level of risk, taking into consideration the likelihood of the child coming into contact with the allergen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120" w:before="120" w:line="360" w:lineRule="auto"/>
        <w:ind w:left="717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control measures, such as prevention from contact with the allergen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120" w:before="120" w:line="360" w:lineRule="auto"/>
        <w:ind w:left="717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review measures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120" w:before="120" w:line="360" w:lineRule="auto"/>
        <w:ind w:left="36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Health Care Plan (HCP) form must be completed with: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120" w:before="120" w:line="360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nature of the reaction e.g. anaphylactic shock reaction, including rash, reddening of skin, swelling, breathing problems etc.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120" w:before="120" w:line="360" w:lineRule="auto"/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managing allergic reactions, medication used and method (e.g. Epipen)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120" w:before="120" w:line="360" w:lineRule="auto"/>
        <w:ind w:left="360" w:hanging="360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child’s name is added to the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Children’s Medical &amp; Cook’s Notes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lists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120" w:before="120" w:line="360" w:lineRule="auto"/>
        <w:ind w:left="36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 copy of the risk assessment and health care plan is kept in the child’s personal file, is shared with all staff and is also kept in the managers’ 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yellow"/>
          <w:rtl w:val="0"/>
        </w:rPr>
        <w:t xml:space="preserve">Food Allergy and Dietary Needs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file.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120" w:before="120" w:line="360" w:lineRule="auto"/>
        <w:ind w:left="36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Parents/carers show staff how to administer medication in the event of an allergic reaction.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120" w:before="120" w:line="360" w:lineRule="auto"/>
        <w:ind w:left="36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Generally, no nuts or nut products are used within the setting. 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120" w:before="120" w:line="360" w:lineRule="auto"/>
        <w:ind w:left="36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Parents/carers are made aware, so that no nut or nut products are accidentally brought in.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120" w:before="120" w:line="360" w:lineRule="auto"/>
        <w:ind w:left="36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Any foods containing food allergens are identified on children’s menus.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5"/>
        </w:numPr>
        <w:spacing w:after="120" w:before="120" w:line="360" w:lineRule="auto"/>
        <w:ind w:left="36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Oral medication must be prescribed or have manufacturer’s instructions written on them.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5"/>
        </w:numPr>
        <w:spacing w:after="120" w:before="120" w:line="360" w:lineRule="auto"/>
        <w:ind w:left="36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Staff must be provided with clear written instructions for administering such medication.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5"/>
        </w:numPr>
        <w:spacing w:after="120" w:before="120" w:line="360" w:lineRule="auto"/>
        <w:ind w:left="36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All risk assessment procedures are adhered to for the correct storage and administration of the medication.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5"/>
        </w:numPr>
        <w:spacing w:after="120" w:before="120" w:line="360" w:lineRule="auto"/>
        <w:ind w:left="36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setting must have the parents/carers’ prior written consent. Consent is kept on file. </w:t>
      </w:r>
    </w:p>
    <w:p w:rsidR="00000000" w:rsidDel="00000000" w:rsidP="00000000" w:rsidRDefault="00000000" w:rsidRPr="00000000" w14:paraId="00000019">
      <w:p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245"/>
        </w:tabs>
        <w:spacing w:after="120" w:before="120" w:line="360" w:lineRule="auto"/>
        <w:rPr>
          <w:color w:val="548dd4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For other life-saving medication and invasive treatments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please refer to Administrating medicines policy.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Members of Staff responsible for Health &amp; Safety: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Kazia Hutchinson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&amp; Judith Duxbury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Policy was reviewed in August 2025 and adopted at a Meeting of the Playgroup Management Committee held 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 20th October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2025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……………………………………………………………… Signed on Behalf of the Playgroup Management Committee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 xml:space="preserve">Position Held: Chair of Management Committee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 be Reviewed: November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omic Sans MS"/>
  <w:font w:name="Arial"/>
  <w:font w:name="Calibri"/>
  <w:font w:name="Courier New"/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1788" w:hanging="360"/>
      </w:pPr>
      <w:rPr>
        <w:rFonts w:ascii="Calibri" w:cs="Calibri" w:eastAsia="Calibri" w:hAnsi="Calibri"/>
        <w:smallCaps w:val="0"/>
        <w:strike w:val="0"/>
        <w:sz w:val="22"/>
        <w:szCs w:val="22"/>
        <w:u w:val="none"/>
        <w:vertAlign w:val="baseline"/>
      </w:rPr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-"/>
      <w:lvlJc w:val="left"/>
      <w:pPr>
        <w:ind w:left="717" w:hanging="360"/>
      </w:pPr>
      <w:rPr>
        <w:smallCaps w:val="0"/>
        <w:strike w:val="0"/>
        <w:sz w:val="22"/>
        <w:szCs w:val="22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37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7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77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97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7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37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57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7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>
        <w:rFonts w:ascii="Calibri" w:cs="Calibri" w:eastAsia="Calibri" w:hAnsi="Calibri"/>
        <w:smallCaps w:val="0"/>
        <w:strike w:val="0"/>
        <w:sz w:val="22"/>
        <w:szCs w:val="22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z w:val="22"/>
        <w:szCs w:val="22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360" w:hanging="360"/>
      </w:pPr>
      <w:rPr>
        <w:rFonts w:ascii="Calibri" w:cs="Calibri" w:eastAsia="Calibri" w:hAnsi="Calibri"/>
        <w:smallCaps w:val="0"/>
        <w:strike w:val="0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i w:val="1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sz w:val="28"/>
      <w:szCs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21678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1678A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1678A"/>
    <w:rPr>
      <w:rFonts w:ascii="Tahoma" w:cs="Tahoma" w:hAnsi="Tahoma"/>
      <w:sz w:val="16"/>
      <w:szCs w:val="16"/>
    </w:rPr>
  </w:style>
  <w:style w:type="character" w:styleId="TitleChar" w:customStyle="1">
    <w:name w:val="Title Char"/>
    <w:basedOn w:val="DefaultParagraphFont"/>
    <w:link w:val="Title"/>
    <w:rsid w:val="0021678A"/>
    <w:rPr>
      <w:rFonts w:ascii="Times New Roman" w:cs="Times New Roman" w:eastAsia="Times New Roman" w:hAnsi="Times New Roman"/>
      <w:b w:val="1"/>
      <w:bCs w:val="1"/>
      <w:sz w:val="28"/>
      <w:szCs w:val="24"/>
    </w:rPr>
  </w:style>
  <w:style w:type="paragraph" w:styleId="BodyText">
    <w:name w:val="Body Text"/>
    <w:basedOn w:val="Normal"/>
    <w:link w:val="BodyTextChar"/>
    <w:rsid w:val="0021678A"/>
    <w:rPr>
      <w:b w:val="1"/>
      <w:bCs w:val="1"/>
    </w:rPr>
  </w:style>
  <w:style w:type="character" w:styleId="BodyTextChar" w:customStyle="1">
    <w:name w:val="Body Text Char"/>
    <w:basedOn w:val="DefaultParagraphFont"/>
    <w:link w:val="BodyText"/>
    <w:rsid w:val="0021678A"/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character" w:styleId="Hyperlink">
    <w:name w:val="Hyperlink"/>
    <w:uiPriority w:val="99"/>
    <w:rsid w:val="0021678A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F4587E"/>
    <w:pPr>
      <w:ind w:left="720"/>
      <w:contextualSpacing w:val="1"/>
    </w:pPr>
  </w:style>
  <w:style w:type="character" w:styleId="Heading1Char" w:customStyle="1">
    <w:name w:val="Heading 1 Char"/>
    <w:basedOn w:val="DefaultParagraphFont"/>
    <w:link w:val="Heading1"/>
    <w:rsid w:val="00D866F2"/>
    <w:rPr>
      <w:rFonts w:ascii="Times New Roman" w:cs="Times New Roman" w:eastAsia="Times New Roman" w:hAnsi="Times New Roman"/>
      <w:b w:val="1"/>
      <w:bCs w:val="1"/>
      <w:i w:val="1"/>
      <w:iCs w:val="1"/>
      <w:sz w:val="24"/>
      <w:szCs w:val="24"/>
    </w:rPr>
  </w:style>
  <w:style w:type="paragraph" w:styleId="EndnoteText">
    <w:name w:val="endnote text"/>
    <w:basedOn w:val="Normal"/>
    <w:link w:val="EndnoteTextChar"/>
    <w:semiHidden w:val="1"/>
    <w:rsid w:val="00D866F2"/>
    <w:rPr>
      <w:rFonts w:ascii="Arial" w:hAnsi="Arial"/>
    </w:rPr>
  </w:style>
  <w:style w:type="character" w:styleId="EndnoteTextChar" w:customStyle="1">
    <w:name w:val="Endnote Text Char"/>
    <w:basedOn w:val="DefaultParagraphFont"/>
    <w:link w:val="EndnoteText"/>
    <w:semiHidden w:val="1"/>
    <w:rsid w:val="00D866F2"/>
    <w:rPr>
      <w:rFonts w:ascii="Arial" w:cs="Times New Roman" w:eastAsia="Times New Roman" w:hAnsi="Arial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73204B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A2B60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  <w:sz w:val="24"/>
      <w:szCs w:val="24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852706"/>
    <w:rPr>
      <w:rFonts w:asciiTheme="majorHAnsi" w:cstheme="majorBidi" w:eastAsiaTheme="majorEastAsia" w:hAnsiTheme="majorHAnsi"/>
      <w:b w:val="1"/>
      <w:bCs w:val="1"/>
      <w:color w:val="4f81bd" w:themeColor="accent1"/>
      <w:sz w:val="24"/>
      <w:szCs w:val="24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9961BA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emf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image" Target="media/image2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HWXw8dV0+Hiitfna+A2ZUvWsqw==">CgMxLjAyDmgudTF3aWhiZjRwMjZpMg5oLmx5cG9tcWhkc3dvMjgAciExNEt5Q1JIbWtxSlF6LWdNaWk1Tm5iUDRHMVdhLXJpMjc=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2025-08-06T14:26:00Z</dcterms:created>
  <dc:creator>Ian</dc:creator>
</cp:coreProperties>
</file>